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056"/>
        <w:rPr>
          <w:rFonts w:ascii="Times New Roman"/>
          <w:sz w:val="20"/>
        </w:rPr>
      </w:pPr>
      <w:r>
        <w:rPr>
          <w:rFonts w:ascii="Times New Roman"/>
          <w:sz w:val="20"/>
        </w:rPr>
        <w:drawing>
          <wp:inline distT="0" distB="0" distL="0" distR="0">
            <wp:extent cx="2066049" cy="79629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066049" cy="79629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rPr>
      </w:pPr>
    </w:p>
    <w:p>
      <w:pPr>
        <w:pStyle w:val="Heading1"/>
        <w:ind w:right="440"/>
        <w:jc w:val="center"/>
      </w:pPr>
      <w:r>
        <w:rPr/>
        <w:t>DIRECCIÓN DE INVESTIGACIÓN Y PRODUCCIÓN INTELECTUAL</w:t>
      </w:r>
    </w:p>
    <w:p>
      <w:pPr>
        <w:pStyle w:val="BodyText"/>
        <w:rPr>
          <w:b/>
          <w:sz w:val="30"/>
        </w:rPr>
      </w:pPr>
    </w:p>
    <w:p>
      <w:pPr>
        <w:pStyle w:val="BodyText"/>
        <w:spacing w:before="11"/>
        <w:rPr>
          <w:b/>
          <w:sz w:val="23"/>
        </w:rPr>
      </w:pPr>
    </w:p>
    <w:p>
      <w:pPr>
        <w:pStyle w:val="Heading2"/>
        <w:spacing w:before="0"/>
        <w:ind w:left="0" w:right="443" w:firstLine="0"/>
        <w:jc w:val="center"/>
      </w:pPr>
      <w:r>
        <w:rPr/>
        <w:t>PROGRAMA ACADÉMICO DE INGENIERÍA INDUSTRIAL</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rPr>
      </w:pPr>
    </w:p>
    <w:p>
      <w:pPr>
        <w:spacing w:before="0"/>
        <w:ind w:left="0" w:right="438" w:firstLine="0"/>
        <w:jc w:val="center"/>
        <w:rPr>
          <w:b/>
          <w:sz w:val="24"/>
        </w:rPr>
      </w:pPr>
      <w:r>
        <w:rPr>
          <w:b/>
          <w:sz w:val="24"/>
        </w:rPr>
        <w:t>INFORME FINAL DE INVESTIGACIÓN</w:t>
      </w:r>
    </w:p>
    <w:p>
      <w:pPr>
        <w:pStyle w:val="BodyText"/>
        <w:rPr>
          <w:b/>
          <w:sz w:val="26"/>
        </w:rPr>
      </w:pPr>
    </w:p>
    <w:p>
      <w:pPr>
        <w:pStyle w:val="BodyText"/>
        <w:spacing w:before="11"/>
        <w:rPr>
          <w:b/>
          <w:sz w:val="20"/>
        </w:rPr>
      </w:pPr>
    </w:p>
    <w:p>
      <w:pPr>
        <w:spacing w:line="276" w:lineRule="auto" w:before="0"/>
        <w:ind w:left="1586" w:right="1557" w:firstLine="0"/>
        <w:jc w:val="center"/>
        <w:rPr>
          <w:b/>
          <w:sz w:val="32"/>
        </w:rPr>
      </w:pPr>
      <w:r>
        <w:rPr>
          <w:b/>
          <w:sz w:val="32"/>
        </w:rPr>
        <w:t>SÍNTESIS Y EVALUACIÓN DE ESPUMAS SINTÁCTICAS METÁLICAS PARA APLICACIONES QUE REQUIEREN ELEVADA ABSORCIÓN DE ENERGÍA</w:t>
      </w:r>
    </w:p>
    <w:p>
      <w:pPr>
        <w:pStyle w:val="BodyText"/>
        <w:rPr>
          <w:b/>
          <w:sz w:val="36"/>
        </w:rPr>
      </w:pPr>
    </w:p>
    <w:p>
      <w:pPr>
        <w:pStyle w:val="BodyText"/>
        <w:rPr>
          <w:b/>
          <w:sz w:val="36"/>
        </w:rPr>
      </w:pPr>
    </w:p>
    <w:p>
      <w:pPr>
        <w:pStyle w:val="BodyText"/>
        <w:spacing w:before="3"/>
        <w:rPr>
          <w:b/>
          <w:sz w:val="36"/>
        </w:rPr>
      </w:pPr>
    </w:p>
    <w:p>
      <w:pPr>
        <w:spacing w:before="0"/>
        <w:ind w:left="0" w:right="433" w:firstLine="0"/>
        <w:jc w:val="center"/>
        <w:rPr>
          <w:rFonts w:ascii="Calibri"/>
          <w:sz w:val="28"/>
        </w:rPr>
      </w:pPr>
      <w:r>
        <w:rPr>
          <w:rFonts w:ascii="Calibri"/>
          <w:sz w:val="28"/>
        </w:rPr>
        <w:t>PROFESOR INVESTIGADOR</w:t>
      </w:r>
    </w:p>
    <w:p>
      <w:pPr>
        <w:spacing w:before="187"/>
        <w:ind w:left="0" w:right="442" w:firstLine="0"/>
        <w:jc w:val="center"/>
        <w:rPr>
          <w:rFonts w:ascii="Calibri"/>
          <w:b/>
          <w:sz w:val="32"/>
        </w:rPr>
      </w:pPr>
      <w:r>
        <w:rPr>
          <w:rFonts w:ascii="Calibri"/>
          <w:b/>
          <w:sz w:val="32"/>
        </w:rPr>
        <w:t>Maestro GONZALO ALEJANDRO ROCHA RIVERO</w:t>
      </w: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4"/>
        </w:rPr>
      </w:pPr>
    </w:p>
    <w:p>
      <w:pPr>
        <w:spacing w:line="684" w:lineRule="auto" w:before="0"/>
        <w:ind w:left="3753" w:right="4190" w:hanging="3"/>
        <w:jc w:val="center"/>
        <w:rPr>
          <w:sz w:val="22"/>
        </w:rPr>
      </w:pPr>
      <w:r>
        <w:rPr>
          <w:sz w:val="22"/>
        </w:rPr>
        <w:t>CHINCHA DICIEMBRE, 2016</w:t>
      </w:r>
    </w:p>
    <w:p>
      <w:pPr>
        <w:spacing w:after="0" w:line="684" w:lineRule="auto"/>
        <w:jc w:val="center"/>
        <w:rPr>
          <w:sz w:val="22"/>
        </w:rPr>
        <w:sectPr>
          <w:footerReference w:type="default" r:id="rId5"/>
          <w:type w:val="continuous"/>
          <w:pgSz w:w="12240" w:h="15840"/>
          <w:pgMar w:footer="1869" w:top="1480" w:bottom="2060" w:left="1520" w:right="94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07"/>
        <w:ind w:left="4521"/>
      </w:pPr>
      <w:bookmarkStart w:name="_TOC_250009" w:id="1"/>
      <w:bookmarkEnd w:id="1"/>
      <w:r>
        <w:rPr/>
        <w:t>AGRADECIMIENTO</w:t>
      </w:r>
    </w:p>
    <w:p>
      <w:pPr>
        <w:pStyle w:val="BodyText"/>
        <w:rPr>
          <w:b/>
          <w:sz w:val="30"/>
        </w:rPr>
      </w:pPr>
    </w:p>
    <w:p>
      <w:pPr>
        <w:pStyle w:val="BodyText"/>
        <w:spacing w:before="2"/>
        <w:rPr>
          <w:b/>
        </w:rPr>
      </w:pPr>
    </w:p>
    <w:p>
      <w:pPr>
        <w:pStyle w:val="BodyText"/>
        <w:spacing w:line="360" w:lineRule="auto"/>
        <w:ind w:left="4521" w:right="635"/>
        <w:jc w:val="both"/>
      </w:pPr>
      <w:r>
        <w:rPr/>
        <w:t>A las autoridades de la Universidad Autónoma de Ica, que me brinda la oportunidad de contribuir con mi país, realizando Investigaciones Científicas que aportan al desarrollo de nuestra sociedad en general y el contexto de la Provincia de Chincha en particular.</w:t>
      </w:r>
    </w:p>
    <w:p>
      <w:pPr>
        <w:spacing w:after="0" w:line="360" w:lineRule="auto"/>
        <w:jc w:val="both"/>
        <w:sectPr>
          <w:pgSz w:w="12240" w:h="15840"/>
          <w:pgMar w:header="0" w:footer="1869" w:top="1500" w:bottom="2060" w:left="1520" w:right="940"/>
        </w:sectPr>
      </w:pPr>
    </w:p>
    <w:p>
      <w:pPr>
        <w:pStyle w:val="BodyText"/>
        <w:spacing w:before="9"/>
        <w:rPr>
          <w:sz w:val="19"/>
        </w:rPr>
      </w:pPr>
    </w:p>
    <w:p>
      <w:pPr>
        <w:pStyle w:val="Heading2"/>
        <w:spacing w:before="92"/>
        <w:ind w:left="0" w:right="526" w:firstLine="0"/>
        <w:jc w:val="center"/>
      </w:pPr>
      <w:bookmarkStart w:name="_TOC_250008" w:id="2"/>
      <w:bookmarkEnd w:id="2"/>
      <w:r>
        <w:rPr/>
        <w:t>ÍNDICE</w:t>
      </w:r>
    </w:p>
    <w:p>
      <w:pPr>
        <w:pStyle w:val="BodyText"/>
        <w:rPr>
          <w:b/>
          <w:sz w:val="26"/>
        </w:rPr>
      </w:pPr>
    </w:p>
    <w:p>
      <w:pPr>
        <w:pStyle w:val="BodyText"/>
        <w:rPr>
          <w:b/>
          <w:sz w:val="26"/>
        </w:rPr>
      </w:pPr>
    </w:p>
    <w:p>
      <w:pPr>
        <w:pStyle w:val="BodyText"/>
        <w:rPr>
          <w:b/>
          <w:sz w:val="26"/>
        </w:rPr>
      </w:pPr>
    </w:p>
    <w:p>
      <w:pPr>
        <w:spacing w:after="0"/>
        <w:rPr>
          <w:sz w:val="26"/>
        </w:rPr>
        <w:sectPr>
          <w:pgSz w:w="12240" w:h="15840"/>
          <w:pgMar w:header="0" w:footer="1869" w:top="1500" w:bottom="2406" w:left="1520" w:right="940"/>
        </w:sectPr>
      </w:pPr>
    </w:p>
    <w:sdt>
      <w:sdtPr>
        <w:docPartObj>
          <w:docPartGallery w:val="Table of Contents"/>
          <w:docPartUnique/>
        </w:docPartObj>
      </w:sdtPr>
      <w:sdtEndPr/>
      <w:sdtContent>
        <w:p>
          <w:pPr>
            <w:pStyle w:val="TOC2"/>
            <w:tabs>
              <w:tab w:pos="8956" w:val="right" w:leader="dot"/>
            </w:tabs>
          </w:pPr>
          <w:r>
            <w:rPr/>
            <w:t>CARÁTULA</w:t>
            <w:tab/>
            <w:t>1</w:t>
          </w:r>
        </w:p>
        <w:p>
          <w:pPr>
            <w:pStyle w:val="TOC2"/>
            <w:tabs>
              <w:tab w:pos="8968" w:val="right" w:leader="dot"/>
            </w:tabs>
            <w:spacing w:before="543"/>
          </w:pPr>
          <w:hyperlink w:history="true" w:anchor="_TOC_250009">
            <w:r>
              <w:rPr/>
              <w:t>AGRADECIMIENTO…</w:t>
              <w:tab/>
              <w:t>2</w:t>
            </w:r>
          </w:hyperlink>
        </w:p>
        <w:p>
          <w:pPr>
            <w:pStyle w:val="TOC2"/>
            <w:tabs>
              <w:tab w:pos="8970" w:val="right" w:leader="dot"/>
            </w:tabs>
            <w:spacing w:before="434"/>
          </w:pPr>
          <w:hyperlink w:history="true" w:anchor="_TOC_250008">
            <w:r>
              <w:rPr/>
              <w:t>ÍNDICE…</w:t>
              <w:tab/>
              <w:t>3</w:t>
            </w:r>
          </w:hyperlink>
        </w:p>
        <w:p>
          <w:pPr>
            <w:pStyle w:val="TOC2"/>
            <w:tabs>
              <w:tab w:pos="9021" w:val="right" w:leader="dot"/>
            </w:tabs>
            <w:spacing w:before="437"/>
          </w:pPr>
          <w:hyperlink w:history="true" w:anchor="_TOC_250007">
            <w:r>
              <w:rPr/>
              <w:t>RESUMEN</w:t>
              <w:tab/>
              <w:t>5</w:t>
            </w:r>
          </w:hyperlink>
        </w:p>
        <w:p>
          <w:pPr>
            <w:pStyle w:val="TOC2"/>
            <w:tabs>
              <w:tab w:pos="9022" w:val="right" w:leader="dot"/>
            </w:tabs>
            <w:spacing w:before="540"/>
          </w:pPr>
          <w:hyperlink w:history="true" w:anchor="_TOC_250006">
            <w:r>
              <w:rPr/>
              <w:t>INTRODUCCIÓN</w:t>
              <w:tab/>
              <w:t>6</w:t>
            </w:r>
          </w:hyperlink>
        </w:p>
        <w:p>
          <w:pPr>
            <w:pStyle w:val="TOC1"/>
            <w:numPr>
              <w:ilvl w:val="0"/>
              <w:numId w:val="1"/>
            </w:numPr>
            <w:tabs>
              <w:tab w:pos="2195" w:val="left" w:leader="none"/>
              <w:tab w:pos="2196" w:val="left" w:leader="none"/>
              <w:tab w:pos="9021" w:val="right" w:leader="dot"/>
            </w:tabs>
            <w:spacing w:line="240" w:lineRule="auto" w:before="658" w:after="0"/>
            <w:ind w:left="2195" w:right="0" w:hanging="1002"/>
            <w:jc w:val="left"/>
          </w:pPr>
          <w:r>
            <w:rPr/>
            <w:t>PLANTEAMIENTO DEL PROBLEMA</w:t>
          </w:r>
          <w:r>
            <w:rPr>
              <w:spacing w:val="-10"/>
            </w:rPr>
            <w:t> </w:t>
          </w:r>
          <w:r>
            <w:rPr/>
            <w:t>DE</w:t>
          </w:r>
          <w:r>
            <w:rPr>
              <w:spacing w:val="-7"/>
            </w:rPr>
            <w:t> </w:t>
          </w:r>
          <w:r>
            <w:rPr/>
            <w:t>INVESTIGACIÓN</w:t>
            <w:tab/>
            <w:t>7</w:t>
          </w:r>
        </w:p>
        <w:p>
          <w:pPr>
            <w:pStyle w:val="TOC1"/>
            <w:numPr>
              <w:ilvl w:val="1"/>
              <w:numId w:val="2"/>
            </w:numPr>
            <w:tabs>
              <w:tab w:pos="2195" w:val="left" w:leader="none"/>
              <w:tab w:pos="2196" w:val="left" w:leader="none"/>
              <w:tab w:pos="9021" w:val="right" w:leader="dot"/>
            </w:tabs>
            <w:spacing w:line="240" w:lineRule="auto" w:before="183" w:after="0"/>
            <w:ind w:left="2195" w:right="0" w:hanging="1002"/>
            <w:jc w:val="left"/>
          </w:pPr>
          <w:hyperlink w:history="true" w:anchor="_bookmark0">
            <w:r>
              <w:rPr/>
              <w:t>Situación Problemática</w:t>
            </w:r>
          </w:hyperlink>
          <w:r>
            <w:rPr/>
            <w:tab/>
            <w:t>7</w:t>
          </w:r>
        </w:p>
        <w:p>
          <w:pPr>
            <w:pStyle w:val="TOC1"/>
            <w:numPr>
              <w:ilvl w:val="1"/>
              <w:numId w:val="2"/>
            </w:numPr>
            <w:tabs>
              <w:tab w:pos="2195" w:val="left" w:leader="none"/>
              <w:tab w:pos="2196" w:val="left" w:leader="none"/>
              <w:tab w:pos="9021" w:val="right" w:leader="dot"/>
            </w:tabs>
            <w:spacing w:line="240" w:lineRule="auto" w:before="182" w:after="0"/>
            <w:ind w:left="2195" w:right="0" w:hanging="1002"/>
            <w:jc w:val="left"/>
          </w:pPr>
          <w:hyperlink w:history="true" w:anchor="_bookmark1">
            <w:r>
              <w:rPr/>
              <w:t>Formulación del Problema Principal</w:t>
            </w:r>
            <w:r>
              <w:rPr>
                <w:spacing w:val="-4"/>
              </w:rPr>
              <w:t> </w:t>
            </w:r>
            <w:r>
              <w:rPr/>
              <w:t>y</w:t>
            </w:r>
            <w:r>
              <w:rPr>
                <w:spacing w:val="-3"/>
              </w:rPr>
              <w:t> </w:t>
            </w:r>
            <w:r>
              <w:rPr/>
              <w:t>Específicos</w:t>
            </w:r>
          </w:hyperlink>
          <w:r>
            <w:rPr/>
            <w:tab/>
            <w:t>8</w:t>
          </w:r>
        </w:p>
        <w:p>
          <w:pPr>
            <w:pStyle w:val="TOC1"/>
            <w:numPr>
              <w:ilvl w:val="1"/>
              <w:numId w:val="2"/>
            </w:numPr>
            <w:tabs>
              <w:tab w:pos="2195" w:val="left" w:leader="none"/>
              <w:tab w:pos="2196" w:val="left" w:leader="none"/>
              <w:tab w:pos="9021" w:val="right" w:leader="dot"/>
            </w:tabs>
            <w:spacing w:line="240" w:lineRule="auto" w:before="183" w:after="0"/>
            <w:ind w:left="2195" w:right="0" w:hanging="1002"/>
            <w:jc w:val="left"/>
          </w:pPr>
          <w:hyperlink w:history="true" w:anchor="_bookmark2">
            <w:r>
              <w:rPr/>
              <w:t>Importancia</w:t>
            </w:r>
          </w:hyperlink>
          <w:r>
            <w:rPr/>
            <w:tab/>
            <w:t>9</w:t>
          </w:r>
        </w:p>
        <w:p>
          <w:pPr>
            <w:pStyle w:val="TOC1"/>
            <w:numPr>
              <w:ilvl w:val="0"/>
              <w:numId w:val="1"/>
            </w:numPr>
            <w:tabs>
              <w:tab w:pos="2195" w:val="left" w:leader="none"/>
              <w:tab w:pos="2196" w:val="left" w:leader="none"/>
              <w:tab w:pos="9025" w:val="right" w:leader="dot"/>
            </w:tabs>
            <w:spacing w:line="240" w:lineRule="auto" w:before="638" w:after="0"/>
            <w:ind w:left="2195" w:right="0" w:hanging="1002"/>
            <w:jc w:val="left"/>
          </w:pPr>
          <w:r>
            <w:rPr/>
            <w:t>MARCO TE</w:t>
          </w:r>
          <w:r>
            <w:rPr>
              <w:sz w:val="22"/>
            </w:rPr>
            <w:t>Ó</w:t>
          </w:r>
          <w:r>
            <w:rPr/>
            <w:t>RICO DE</w:t>
          </w:r>
          <w:r>
            <w:rPr>
              <w:spacing w:val="-5"/>
            </w:rPr>
            <w:t> </w:t>
          </w:r>
          <w:r>
            <w:rPr/>
            <w:t>LA INVESTIGACI</w:t>
          </w:r>
          <w:r>
            <w:rPr>
              <w:sz w:val="22"/>
            </w:rPr>
            <w:t>Ó</w:t>
          </w:r>
          <w:r>
            <w:rPr/>
            <w:t>N</w:t>
            <w:tab/>
            <w:t>11</w:t>
          </w:r>
        </w:p>
        <w:p>
          <w:pPr>
            <w:pStyle w:val="TOC1"/>
            <w:numPr>
              <w:ilvl w:val="1"/>
              <w:numId w:val="3"/>
            </w:numPr>
            <w:tabs>
              <w:tab w:pos="2195" w:val="left" w:leader="none"/>
              <w:tab w:pos="2196" w:val="left" w:leader="none"/>
              <w:tab w:pos="9025" w:val="right" w:leader="dot"/>
            </w:tabs>
            <w:spacing w:line="240" w:lineRule="auto" w:before="183" w:after="0"/>
            <w:ind w:left="2195" w:right="0" w:hanging="1002"/>
            <w:jc w:val="left"/>
          </w:pPr>
          <w:hyperlink w:history="true" w:anchor="_bookmark3">
            <w:r>
              <w:rPr/>
              <w:t>Bases</w:t>
            </w:r>
            <w:r>
              <w:rPr>
                <w:spacing w:val="-4"/>
              </w:rPr>
              <w:t> </w:t>
            </w:r>
            <w:r>
              <w:rPr/>
              <w:t>Teóricas</w:t>
            </w:r>
          </w:hyperlink>
          <w:r>
            <w:rPr/>
            <w:tab/>
            <w:t>13</w:t>
          </w:r>
        </w:p>
        <w:p>
          <w:pPr>
            <w:pStyle w:val="TOC1"/>
            <w:numPr>
              <w:ilvl w:val="1"/>
              <w:numId w:val="3"/>
            </w:numPr>
            <w:tabs>
              <w:tab w:pos="2195" w:val="left" w:leader="none"/>
              <w:tab w:pos="2196" w:val="left" w:leader="none"/>
              <w:tab w:pos="9028" w:val="right" w:leader="dot"/>
            </w:tabs>
            <w:spacing w:line="240" w:lineRule="auto" w:before="182" w:after="0"/>
            <w:ind w:left="2195" w:right="0" w:hanging="1002"/>
            <w:jc w:val="left"/>
          </w:pPr>
          <w:hyperlink w:history="true" w:anchor="_bookmark4">
            <w:r>
              <w:rPr/>
              <w:t>Marco</w:t>
            </w:r>
            <w:r>
              <w:rPr>
                <w:spacing w:val="-1"/>
              </w:rPr>
              <w:t> </w:t>
            </w:r>
            <w:r>
              <w:rPr/>
              <w:t>Conceptual</w:t>
              <w:tab/>
              <w:t>1</w:t>
            </w:r>
          </w:hyperlink>
          <w:r>
            <w:rPr/>
            <w:t>4</w:t>
          </w:r>
        </w:p>
        <w:p>
          <w:pPr>
            <w:pStyle w:val="TOC1"/>
            <w:numPr>
              <w:ilvl w:val="0"/>
              <w:numId w:val="1"/>
            </w:numPr>
            <w:tabs>
              <w:tab w:pos="2195" w:val="left" w:leader="none"/>
              <w:tab w:pos="2196" w:val="left" w:leader="none"/>
              <w:tab w:pos="9029" w:val="right" w:leader="dot"/>
            </w:tabs>
            <w:spacing w:line="240" w:lineRule="auto" w:before="638" w:after="0"/>
            <w:ind w:left="2195" w:right="0" w:hanging="1002"/>
            <w:jc w:val="left"/>
          </w:pPr>
          <w:hyperlink w:history="true" w:anchor="_bookmark5">
            <w:r>
              <w:rPr/>
              <w:t>OBJETIVOS</w:t>
              <w:tab/>
              <w:t>16</w:t>
            </w:r>
          </w:hyperlink>
        </w:p>
        <w:p>
          <w:pPr>
            <w:pStyle w:val="TOC1"/>
            <w:numPr>
              <w:ilvl w:val="1"/>
              <w:numId w:val="4"/>
            </w:numPr>
            <w:tabs>
              <w:tab w:pos="2195" w:val="left" w:leader="none"/>
              <w:tab w:pos="2196" w:val="left" w:leader="none"/>
              <w:tab w:pos="9028" w:val="right" w:leader="dot"/>
            </w:tabs>
            <w:spacing w:line="240" w:lineRule="auto" w:before="183" w:after="0"/>
            <w:ind w:left="2195" w:right="0" w:hanging="1002"/>
            <w:jc w:val="left"/>
          </w:pPr>
          <w:hyperlink w:history="true" w:anchor="_bookmark6">
            <w:r>
              <w:rPr/>
              <w:t>Objetivo</w:t>
            </w:r>
            <w:r>
              <w:rPr>
                <w:spacing w:val="2"/>
              </w:rPr>
              <w:t> </w:t>
            </w:r>
            <w:r>
              <w:rPr/>
              <w:t>Principal</w:t>
              <w:tab/>
              <w:t>1</w:t>
            </w:r>
          </w:hyperlink>
          <w:r>
            <w:rPr/>
            <w:t>6</w:t>
          </w:r>
        </w:p>
        <w:p>
          <w:pPr>
            <w:pStyle w:val="TOC1"/>
            <w:numPr>
              <w:ilvl w:val="1"/>
              <w:numId w:val="4"/>
            </w:numPr>
            <w:tabs>
              <w:tab w:pos="2195" w:val="left" w:leader="none"/>
              <w:tab w:pos="2196" w:val="left" w:leader="none"/>
              <w:tab w:pos="9028" w:val="right" w:leader="dot"/>
            </w:tabs>
            <w:spacing w:line="240" w:lineRule="auto" w:before="183" w:after="0"/>
            <w:ind w:left="2195" w:right="0" w:hanging="1002"/>
            <w:jc w:val="left"/>
          </w:pPr>
          <w:hyperlink w:history="true" w:anchor="_bookmark7">
            <w:r>
              <w:rPr/>
              <w:t>Objetivos</w:t>
            </w:r>
            <w:r>
              <w:rPr>
                <w:spacing w:val="-1"/>
              </w:rPr>
              <w:t> </w:t>
            </w:r>
            <w:r>
              <w:rPr/>
              <w:t>Específicos</w:t>
              <w:tab/>
              <w:t>1</w:t>
            </w:r>
          </w:hyperlink>
          <w:r>
            <w:rPr/>
            <w:t>6</w:t>
          </w:r>
        </w:p>
        <w:p>
          <w:pPr>
            <w:pStyle w:val="TOC1"/>
            <w:numPr>
              <w:ilvl w:val="0"/>
              <w:numId w:val="1"/>
            </w:numPr>
            <w:tabs>
              <w:tab w:pos="2195" w:val="left" w:leader="none"/>
              <w:tab w:pos="2196" w:val="left" w:leader="none"/>
              <w:tab w:pos="9029" w:val="right" w:leader="dot"/>
            </w:tabs>
            <w:spacing w:line="240" w:lineRule="auto" w:before="638" w:after="20"/>
            <w:ind w:left="2195" w:right="0" w:hanging="1002"/>
            <w:jc w:val="left"/>
          </w:pPr>
          <w:hyperlink w:history="true" w:anchor="_TOC_250005">
            <w:r>
              <w:rPr/>
              <w:t>HIPÓTESIS</w:t>
              <w:tab/>
              <w:t>17</w:t>
            </w:r>
          </w:hyperlink>
        </w:p>
        <w:p>
          <w:pPr>
            <w:pStyle w:val="TOC1"/>
            <w:numPr>
              <w:ilvl w:val="0"/>
              <w:numId w:val="1"/>
            </w:numPr>
            <w:tabs>
              <w:tab w:pos="2195" w:val="left" w:leader="none"/>
              <w:tab w:pos="2196" w:val="left" w:leader="none"/>
              <w:tab w:pos="9028" w:val="right" w:leader="dot"/>
            </w:tabs>
            <w:spacing w:line="240" w:lineRule="auto" w:before="433" w:after="0"/>
            <w:ind w:left="2195" w:right="0" w:hanging="1002"/>
            <w:jc w:val="left"/>
          </w:pPr>
          <w:hyperlink w:history="true" w:anchor="_bookmark8">
            <w:r>
              <w:rPr/>
              <w:t>VARIABLES</w:t>
              <w:tab/>
              <w:t>1</w:t>
            </w:r>
          </w:hyperlink>
          <w:r>
            <w:rPr/>
            <w:t>8</w:t>
          </w:r>
        </w:p>
        <w:p>
          <w:pPr>
            <w:pStyle w:val="TOC1"/>
            <w:numPr>
              <w:ilvl w:val="0"/>
              <w:numId w:val="1"/>
            </w:numPr>
            <w:tabs>
              <w:tab w:pos="2195" w:val="left" w:leader="none"/>
              <w:tab w:pos="2196" w:val="left" w:leader="none"/>
              <w:tab w:pos="9020" w:val="right" w:leader="dot"/>
            </w:tabs>
            <w:spacing w:line="240" w:lineRule="auto" w:before="931" w:after="0"/>
            <w:ind w:left="2195" w:right="0" w:hanging="1002"/>
            <w:jc w:val="left"/>
          </w:pPr>
          <w:hyperlink w:history="true" w:anchor="_TOC_250004">
            <w:r>
              <w:rPr/>
              <w:t>OPERACIONALIZACIÓN</w:t>
            </w:r>
            <w:r>
              <w:rPr>
                <w:spacing w:val="-1"/>
              </w:rPr>
              <w:t> </w:t>
            </w:r>
            <w:r>
              <w:rPr/>
              <w:t>DE VARIABLES</w:t>
              <w:tab/>
              <w:t>19</w:t>
            </w:r>
          </w:hyperlink>
        </w:p>
        <w:p>
          <w:pPr>
            <w:pStyle w:val="TOC1"/>
            <w:numPr>
              <w:ilvl w:val="0"/>
              <w:numId w:val="1"/>
            </w:numPr>
            <w:tabs>
              <w:tab w:pos="2195" w:val="left" w:leader="none"/>
              <w:tab w:pos="2196" w:val="left" w:leader="none"/>
              <w:tab w:pos="8979" w:val="right" w:leader="dot"/>
            </w:tabs>
            <w:spacing w:line="240" w:lineRule="auto" w:before="929" w:after="0"/>
            <w:ind w:left="2195" w:right="0" w:hanging="1002"/>
            <w:jc w:val="left"/>
          </w:pPr>
          <w:hyperlink w:history="true" w:anchor="_TOC_250003">
            <w:r>
              <w:rPr/>
              <w:t>ESTRATEGIA</w:t>
            </w:r>
            <w:r>
              <w:rPr>
                <w:spacing w:val="-1"/>
              </w:rPr>
              <w:t> </w:t>
            </w:r>
            <w:r>
              <w:rPr/>
              <w:t>METODOLÓGICA</w:t>
              <w:tab/>
              <w:t>20</w:t>
            </w:r>
          </w:hyperlink>
        </w:p>
        <w:p>
          <w:pPr>
            <w:pStyle w:val="TOC1"/>
            <w:numPr>
              <w:ilvl w:val="0"/>
              <w:numId w:val="1"/>
            </w:numPr>
            <w:tabs>
              <w:tab w:pos="2195" w:val="left" w:leader="none"/>
              <w:tab w:pos="2196" w:val="left" w:leader="none"/>
              <w:tab w:pos="9001" w:val="right" w:leader="dot"/>
            </w:tabs>
            <w:spacing w:line="240" w:lineRule="auto" w:before="929" w:after="0"/>
            <w:ind w:left="2195" w:right="0" w:hanging="1002"/>
            <w:jc w:val="left"/>
          </w:pPr>
          <w:hyperlink w:history="true" w:anchor="_TOC_250002">
            <w:r>
              <w:rPr/>
              <w:t>PROCEDIMIENTO</w:t>
            </w:r>
            <w:r>
              <w:rPr>
                <w:spacing w:val="-3"/>
              </w:rPr>
              <w:t> </w:t>
            </w:r>
            <w:r>
              <w:rPr/>
              <w:t>EXPERIMENTAL</w:t>
              <w:tab/>
              <w:t>21</w:t>
            </w:r>
          </w:hyperlink>
        </w:p>
        <w:p>
          <w:pPr>
            <w:pStyle w:val="TOC1"/>
            <w:numPr>
              <w:ilvl w:val="0"/>
              <w:numId w:val="1"/>
            </w:numPr>
            <w:tabs>
              <w:tab w:pos="2195" w:val="left" w:leader="none"/>
              <w:tab w:pos="2196" w:val="left" w:leader="none"/>
              <w:tab w:pos="9009" w:val="right" w:leader="dot"/>
            </w:tabs>
            <w:spacing w:line="240" w:lineRule="auto" w:before="934" w:after="0"/>
            <w:ind w:left="2195" w:right="0" w:hanging="1002"/>
            <w:jc w:val="left"/>
          </w:pPr>
          <w:hyperlink w:history="true" w:anchor="_TOC_250001">
            <w:r>
              <w:rPr/>
              <w:t>DISCUSION</w:t>
            </w:r>
            <w:r>
              <w:rPr>
                <w:spacing w:val="-1"/>
              </w:rPr>
              <w:t> </w:t>
            </w:r>
            <w:r>
              <w:rPr/>
              <w:t>DE RESULTADOS</w:t>
              <w:tab/>
              <w:t>27</w:t>
            </w:r>
          </w:hyperlink>
        </w:p>
        <w:p>
          <w:pPr>
            <w:pStyle w:val="TOC1"/>
            <w:numPr>
              <w:ilvl w:val="1"/>
              <w:numId w:val="5"/>
            </w:numPr>
            <w:tabs>
              <w:tab w:pos="2195" w:val="left" w:leader="none"/>
              <w:tab w:pos="2196" w:val="left" w:leader="none"/>
              <w:tab w:pos="8985" w:val="right" w:leader="dot"/>
            </w:tabs>
            <w:spacing w:line="240" w:lineRule="auto" w:before="137" w:after="0"/>
            <w:ind w:left="2195" w:right="0" w:hanging="1002"/>
            <w:jc w:val="left"/>
          </w:pPr>
          <w:hyperlink w:history="true" w:anchor="_TOC_250000">
            <w:r>
              <w:rPr/>
              <w:t>Microestructura…</w:t>
              <w:tab/>
            </w:r>
            <w:r>
              <w:rPr>
                <w:spacing w:val="2"/>
              </w:rPr>
              <w:t>27</w:t>
            </w:r>
          </w:hyperlink>
        </w:p>
      </w:sdtContent>
    </w:sdt>
    <w:p>
      <w:pPr>
        <w:spacing w:after="0" w:line="240" w:lineRule="auto"/>
        <w:jc w:val="left"/>
        <w:sectPr>
          <w:type w:val="continuous"/>
          <w:pgSz w:w="12240" w:h="15840"/>
          <w:pgMar w:top="1499" w:bottom="2406" w:left="1520" w:right="940"/>
        </w:sectPr>
      </w:pPr>
    </w:p>
    <w:p>
      <w:pPr>
        <w:pStyle w:val="ListParagraph"/>
        <w:numPr>
          <w:ilvl w:val="1"/>
          <w:numId w:val="5"/>
        </w:numPr>
        <w:tabs>
          <w:tab w:pos="2195" w:val="left" w:leader="none"/>
          <w:tab w:pos="2196" w:val="left" w:leader="none"/>
        </w:tabs>
        <w:spacing w:line="240" w:lineRule="auto" w:before="297" w:after="0"/>
        <w:ind w:left="2195" w:right="0" w:hanging="1002"/>
        <w:jc w:val="left"/>
        <w:rPr>
          <w:sz w:val="24"/>
        </w:rPr>
      </w:pPr>
      <w:r>
        <w:rPr>
          <w:sz w:val="24"/>
        </w:rPr>
        <w:t>Propiedades de compresión en condiciones</w:t>
      </w:r>
      <w:r>
        <w:rPr>
          <w:spacing w:val="-13"/>
          <w:sz w:val="24"/>
        </w:rPr>
        <w:t> </w:t>
      </w:r>
      <w:r>
        <w:rPr>
          <w:sz w:val="24"/>
        </w:rPr>
        <w:t>cuasi-estáticas…34</w:t>
      </w:r>
    </w:p>
    <w:p>
      <w:pPr>
        <w:pStyle w:val="BodyText"/>
        <w:rPr>
          <w:sz w:val="26"/>
        </w:rPr>
      </w:pPr>
    </w:p>
    <w:p>
      <w:pPr>
        <w:pStyle w:val="BodyText"/>
        <w:rPr>
          <w:sz w:val="26"/>
        </w:rPr>
      </w:pPr>
    </w:p>
    <w:p>
      <w:pPr>
        <w:pStyle w:val="BodyText"/>
        <w:spacing w:before="9"/>
        <w:rPr>
          <w:sz w:val="38"/>
        </w:rPr>
      </w:pPr>
    </w:p>
    <w:p>
      <w:pPr>
        <w:pStyle w:val="ListParagraph"/>
        <w:numPr>
          <w:ilvl w:val="0"/>
          <w:numId w:val="1"/>
        </w:numPr>
        <w:tabs>
          <w:tab w:pos="2195" w:val="left" w:leader="none"/>
          <w:tab w:pos="2196" w:val="left" w:leader="none"/>
          <w:tab w:pos="8701" w:val="left" w:leader="dot"/>
        </w:tabs>
        <w:spacing w:line="240" w:lineRule="auto" w:before="1" w:after="0"/>
        <w:ind w:left="2195" w:right="0" w:hanging="1002"/>
        <w:jc w:val="left"/>
        <w:rPr>
          <w:sz w:val="24"/>
        </w:rPr>
      </w:pPr>
      <w:r>
        <w:rPr>
          <w:sz w:val="24"/>
        </w:rPr>
        <w:t>CONCLUSIONES</w:t>
      </w:r>
      <w:r>
        <w:rPr>
          <w:spacing w:val="-2"/>
          <w:sz w:val="24"/>
        </w:rPr>
        <w:t> </w:t>
      </w:r>
      <w:r>
        <w:rPr>
          <w:sz w:val="24"/>
        </w:rPr>
        <w:t>Y</w:t>
      </w:r>
      <w:r>
        <w:rPr>
          <w:spacing w:val="-5"/>
          <w:sz w:val="24"/>
        </w:rPr>
        <w:t> </w:t>
      </w:r>
      <w:r>
        <w:rPr>
          <w:sz w:val="24"/>
        </w:rPr>
        <w:t>RECOMENDACIONES</w:t>
        <w:tab/>
        <w:t>39</w:t>
      </w:r>
    </w:p>
    <w:p>
      <w:pPr>
        <w:pStyle w:val="ListParagraph"/>
        <w:numPr>
          <w:ilvl w:val="0"/>
          <w:numId w:val="1"/>
        </w:numPr>
        <w:tabs>
          <w:tab w:pos="2195" w:val="left" w:leader="none"/>
          <w:tab w:pos="2196" w:val="left" w:leader="none"/>
          <w:tab w:pos="9008" w:val="right" w:leader="dot"/>
        </w:tabs>
        <w:spacing w:line="240" w:lineRule="auto" w:before="931" w:after="0"/>
        <w:ind w:left="2195" w:right="0" w:hanging="1002"/>
        <w:jc w:val="left"/>
        <w:rPr>
          <w:sz w:val="24"/>
        </w:rPr>
      </w:pPr>
      <w:r>
        <w:rPr>
          <w:sz w:val="24"/>
        </w:rPr>
        <w:t>FUENTES DE</w:t>
      </w:r>
      <w:r>
        <w:rPr>
          <w:spacing w:val="-2"/>
          <w:sz w:val="24"/>
        </w:rPr>
        <w:t> </w:t>
      </w:r>
      <w:r>
        <w:rPr>
          <w:sz w:val="24"/>
        </w:rPr>
        <w:t>INFORMACIÓN</w:t>
        <w:tab/>
        <w:t>41</w:t>
      </w:r>
    </w:p>
    <w:p>
      <w:pPr>
        <w:spacing w:after="0" w:line="240" w:lineRule="auto"/>
        <w:jc w:val="left"/>
        <w:rPr>
          <w:sz w:val="24"/>
        </w:rPr>
        <w:sectPr>
          <w:type w:val="continuous"/>
          <w:pgSz w:w="12240" w:h="15840"/>
          <w:pgMar w:top="1500" w:bottom="2060" w:left="1520" w:right="940"/>
        </w:sectPr>
      </w:pPr>
    </w:p>
    <w:p>
      <w:pPr>
        <w:pStyle w:val="Heading2"/>
        <w:spacing w:before="77"/>
        <w:ind w:left="0" w:right="436" w:firstLine="0"/>
        <w:jc w:val="center"/>
      </w:pPr>
      <w:bookmarkStart w:name="_TOC_250007" w:id="3"/>
      <w:bookmarkEnd w:id="3"/>
      <w:r>
        <w:rPr/>
        <w:t>RESUMEN</w:t>
      </w:r>
    </w:p>
    <w:p>
      <w:pPr>
        <w:pStyle w:val="BodyText"/>
        <w:rPr>
          <w:b/>
          <w:sz w:val="26"/>
        </w:rPr>
      </w:pPr>
    </w:p>
    <w:p>
      <w:pPr>
        <w:pStyle w:val="BodyText"/>
        <w:spacing w:before="8"/>
        <w:rPr>
          <w:b/>
          <w:sz w:val="29"/>
        </w:rPr>
      </w:pPr>
    </w:p>
    <w:p>
      <w:pPr>
        <w:spacing w:line="360" w:lineRule="auto" w:before="0"/>
        <w:ind w:left="201" w:right="637" w:firstLine="719"/>
        <w:jc w:val="both"/>
        <w:rPr>
          <w:sz w:val="23"/>
        </w:rPr>
      </w:pPr>
      <w:r>
        <w:rPr>
          <w:sz w:val="23"/>
        </w:rPr>
        <w:t>Cuando un vehículo automotriz es impactado, debido a una colisión o explosión, en</w:t>
      </w:r>
      <w:r>
        <w:rPr>
          <w:spacing w:val="-7"/>
          <w:sz w:val="23"/>
        </w:rPr>
        <w:t> </w:t>
      </w:r>
      <w:r>
        <w:rPr>
          <w:sz w:val="23"/>
        </w:rPr>
        <w:t>un</w:t>
      </w:r>
      <w:r>
        <w:rPr>
          <w:spacing w:val="-7"/>
          <w:sz w:val="23"/>
        </w:rPr>
        <w:t> </w:t>
      </w:r>
      <w:r>
        <w:rPr>
          <w:sz w:val="23"/>
        </w:rPr>
        <w:t>primer</w:t>
      </w:r>
      <w:r>
        <w:rPr>
          <w:spacing w:val="-8"/>
          <w:sz w:val="23"/>
        </w:rPr>
        <w:t> </w:t>
      </w:r>
      <w:r>
        <w:rPr>
          <w:sz w:val="23"/>
        </w:rPr>
        <w:t>momento,</w:t>
      </w:r>
      <w:r>
        <w:rPr>
          <w:spacing w:val="-8"/>
          <w:sz w:val="23"/>
        </w:rPr>
        <w:t> </w:t>
      </w:r>
      <w:r>
        <w:rPr>
          <w:sz w:val="23"/>
        </w:rPr>
        <w:t>la</w:t>
      </w:r>
      <w:r>
        <w:rPr>
          <w:spacing w:val="-7"/>
          <w:sz w:val="23"/>
        </w:rPr>
        <w:t> </w:t>
      </w:r>
      <w:r>
        <w:rPr>
          <w:sz w:val="23"/>
        </w:rPr>
        <w:t>energía</w:t>
      </w:r>
      <w:r>
        <w:rPr>
          <w:spacing w:val="-7"/>
          <w:sz w:val="23"/>
        </w:rPr>
        <w:t> </w:t>
      </w:r>
      <w:r>
        <w:rPr>
          <w:sz w:val="23"/>
        </w:rPr>
        <w:t>del</w:t>
      </w:r>
      <w:r>
        <w:rPr>
          <w:spacing w:val="-6"/>
          <w:sz w:val="23"/>
        </w:rPr>
        <w:t> </w:t>
      </w:r>
      <w:r>
        <w:rPr>
          <w:sz w:val="23"/>
        </w:rPr>
        <w:t>impacto</w:t>
      </w:r>
      <w:r>
        <w:rPr>
          <w:spacing w:val="-7"/>
          <w:sz w:val="23"/>
        </w:rPr>
        <w:t> </w:t>
      </w:r>
      <w:r>
        <w:rPr>
          <w:sz w:val="23"/>
        </w:rPr>
        <w:t>es</w:t>
      </w:r>
      <w:r>
        <w:rPr>
          <w:spacing w:val="-6"/>
          <w:sz w:val="23"/>
        </w:rPr>
        <w:t> </w:t>
      </w:r>
      <w:r>
        <w:rPr>
          <w:sz w:val="23"/>
        </w:rPr>
        <w:t>transmitida</w:t>
      </w:r>
      <w:r>
        <w:rPr>
          <w:spacing w:val="-6"/>
          <w:sz w:val="23"/>
        </w:rPr>
        <w:t> </w:t>
      </w:r>
      <w:r>
        <w:rPr>
          <w:sz w:val="23"/>
        </w:rPr>
        <w:t>a</w:t>
      </w:r>
      <w:r>
        <w:rPr>
          <w:spacing w:val="-7"/>
          <w:sz w:val="23"/>
        </w:rPr>
        <w:t> </w:t>
      </w:r>
      <w:r>
        <w:rPr>
          <w:sz w:val="23"/>
        </w:rPr>
        <w:t>la</w:t>
      </w:r>
      <w:r>
        <w:rPr>
          <w:spacing w:val="-7"/>
          <w:sz w:val="23"/>
        </w:rPr>
        <w:t> </w:t>
      </w:r>
      <w:r>
        <w:rPr>
          <w:sz w:val="23"/>
        </w:rPr>
        <w:t>estructura</w:t>
      </w:r>
      <w:r>
        <w:rPr>
          <w:spacing w:val="-6"/>
          <w:sz w:val="23"/>
        </w:rPr>
        <w:t> </w:t>
      </w:r>
      <w:r>
        <w:rPr>
          <w:sz w:val="23"/>
        </w:rPr>
        <w:t>del</w:t>
      </w:r>
      <w:r>
        <w:rPr>
          <w:spacing w:val="-7"/>
          <w:sz w:val="23"/>
        </w:rPr>
        <w:t> </w:t>
      </w:r>
      <w:r>
        <w:rPr>
          <w:sz w:val="23"/>
        </w:rPr>
        <w:t>vehículo y luego al conductor y ocupantes del mismo. La mayoría de veces el impacto genera lesiones</w:t>
      </w:r>
      <w:r>
        <w:rPr>
          <w:spacing w:val="-5"/>
          <w:sz w:val="23"/>
        </w:rPr>
        <w:t> </w:t>
      </w:r>
      <w:r>
        <w:rPr>
          <w:sz w:val="23"/>
        </w:rPr>
        <w:t>y</w:t>
      </w:r>
      <w:r>
        <w:rPr>
          <w:spacing w:val="-10"/>
          <w:sz w:val="23"/>
        </w:rPr>
        <w:t> </w:t>
      </w:r>
      <w:r>
        <w:rPr>
          <w:sz w:val="23"/>
        </w:rPr>
        <w:t>traumatismos</w:t>
      </w:r>
      <w:r>
        <w:rPr>
          <w:spacing w:val="-9"/>
          <w:sz w:val="23"/>
        </w:rPr>
        <w:t> </w:t>
      </w:r>
      <w:r>
        <w:rPr>
          <w:sz w:val="23"/>
        </w:rPr>
        <w:t>en</w:t>
      </w:r>
      <w:r>
        <w:rPr>
          <w:spacing w:val="-8"/>
          <w:sz w:val="23"/>
        </w:rPr>
        <w:t> </w:t>
      </w:r>
      <w:r>
        <w:rPr>
          <w:sz w:val="23"/>
        </w:rPr>
        <w:t>las</w:t>
      </w:r>
      <w:r>
        <w:rPr>
          <w:spacing w:val="-5"/>
          <w:sz w:val="23"/>
        </w:rPr>
        <w:t> </w:t>
      </w:r>
      <w:r>
        <w:rPr>
          <w:sz w:val="23"/>
        </w:rPr>
        <w:t>personas</w:t>
      </w:r>
      <w:r>
        <w:rPr>
          <w:spacing w:val="-5"/>
          <w:sz w:val="23"/>
        </w:rPr>
        <w:t> </w:t>
      </w:r>
      <w:r>
        <w:rPr>
          <w:sz w:val="23"/>
        </w:rPr>
        <w:t>y</w:t>
      </w:r>
      <w:r>
        <w:rPr>
          <w:spacing w:val="-9"/>
          <w:sz w:val="23"/>
        </w:rPr>
        <w:t> </w:t>
      </w:r>
      <w:r>
        <w:rPr>
          <w:sz w:val="23"/>
        </w:rPr>
        <w:t>eventualmente</w:t>
      </w:r>
      <w:r>
        <w:rPr>
          <w:spacing w:val="-9"/>
          <w:sz w:val="23"/>
        </w:rPr>
        <w:t> </w:t>
      </w:r>
      <w:r>
        <w:rPr>
          <w:sz w:val="23"/>
        </w:rPr>
        <w:t>su</w:t>
      </w:r>
      <w:r>
        <w:rPr>
          <w:spacing w:val="-10"/>
          <w:sz w:val="23"/>
        </w:rPr>
        <w:t> </w:t>
      </w:r>
      <w:r>
        <w:rPr>
          <w:sz w:val="23"/>
        </w:rPr>
        <w:t>muerte.</w:t>
      </w:r>
      <w:r>
        <w:rPr>
          <w:spacing w:val="-7"/>
          <w:sz w:val="23"/>
        </w:rPr>
        <w:t> </w:t>
      </w:r>
      <w:r>
        <w:rPr>
          <w:sz w:val="23"/>
        </w:rPr>
        <w:t>Ello</w:t>
      </w:r>
      <w:r>
        <w:rPr>
          <w:spacing w:val="-8"/>
          <w:sz w:val="23"/>
        </w:rPr>
        <w:t> </w:t>
      </w:r>
      <w:r>
        <w:rPr>
          <w:sz w:val="23"/>
        </w:rPr>
        <w:t>se</w:t>
      </w:r>
      <w:r>
        <w:rPr>
          <w:spacing w:val="-9"/>
          <w:sz w:val="23"/>
        </w:rPr>
        <w:t> </w:t>
      </w:r>
      <w:r>
        <w:rPr>
          <w:sz w:val="23"/>
        </w:rPr>
        <w:t>debe</w:t>
      </w:r>
      <w:r>
        <w:rPr>
          <w:spacing w:val="-5"/>
          <w:sz w:val="23"/>
        </w:rPr>
        <w:t> </w:t>
      </w:r>
      <w:r>
        <w:rPr>
          <w:sz w:val="23"/>
        </w:rPr>
        <w:t>a</w:t>
      </w:r>
      <w:r>
        <w:rPr>
          <w:spacing w:val="-9"/>
          <w:sz w:val="23"/>
        </w:rPr>
        <w:t> </w:t>
      </w:r>
      <w:r>
        <w:rPr>
          <w:sz w:val="23"/>
        </w:rPr>
        <w:t>que la mayoría de los componentes estructurales de los vehículos son metálicos y éstos transmiten</w:t>
      </w:r>
      <w:r>
        <w:rPr>
          <w:spacing w:val="-10"/>
          <w:sz w:val="23"/>
        </w:rPr>
        <w:t> </w:t>
      </w:r>
      <w:r>
        <w:rPr>
          <w:sz w:val="23"/>
        </w:rPr>
        <w:t>prácticamente</w:t>
      </w:r>
      <w:r>
        <w:rPr>
          <w:spacing w:val="-10"/>
          <w:sz w:val="23"/>
        </w:rPr>
        <w:t> </w:t>
      </w:r>
      <w:r>
        <w:rPr>
          <w:sz w:val="23"/>
        </w:rPr>
        <w:t>el</w:t>
      </w:r>
      <w:r>
        <w:rPr>
          <w:spacing w:val="-8"/>
          <w:sz w:val="23"/>
        </w:rPr>
        <w:t> </w:t>
      </w:r>
      <w:r>
        <w:rPr>
          <w:sz w:val="23"/>
        </w:rPr>
        <w:t>íntegro</w:t>
      </w:r>
      <w:r>
        <w:rPr>
          <w:spacing w:val="-10"/>
          <w:sz w:val="23"/>
        </w:rPr>
        <w:t> </w:t>
      </w:r>
      <w:r>
        <w:rPr>
          <w:sz w:val="23"/>
        </w:rPr>
        <w:t>de</w:t>
      </w:r>
      <w:r>
        <w:rPr>
          <w:spacing w:val="-10"/>
          <w:sz w:val="23"/>
        </w:rPr>
        <w:t> </w:t>
      </w:r>
      <w:r>
        <w:rPr>
          <w:sz w:val="23"/>
        </w:rPr>
        <w:t>la</w:t>
      </w:r>
      <w:r>
        <w:rPr>
          <w:spacing w:val="-9"/>
          <w:sz w:val="23"/>
        </w:rPr>
        <w:t> </w:t>
      </w:r>
      <w:r>
        <w:rPr>
          <w:sz w:val="23"/>
        </w:rPr>
        <w:t>energía</w:t>
      </w:r>
      <w:r>
        <w:rPr>
          <w:spacing w:val="-10"/>
          <w:sz w:val="23"/>
        </w:rPr>
        <w:t> </w:t>
      </w:r>
      <w:r>
        <w:rPr>
          <w:sz w:val="23"/>
        </w:rPr>
        <w:t>que</w:t>
      </w:r>
      <w:r>
        <w:rPr>
          <w:spacing w:val="-9"/>
          <w:sz w:val="23"/>
        </w:rPr>
        <w:t> </w:t>
      </w:r>
      <w:r>
        <w:rPr>
          <w:sz w:val="23"/>
        </w:rPr>
        <w:t>reciben.</w:t>
      </w:r>
      <w:r>
        <w:rPr>
          <w:spacing w:val="-8"/>
          <w:sz w:val="23"/>
        </w:rPr>
        <w:t> </w:t>
      </w:r>
      <w:r>
        <w:rPr>
          <w:sz w:val="23"/>
        </w:rPr>
        <w:t>Un</w:t>
      </w:r>
      <w:r>
        <w:rPr>
          <w:spacing w:val="-10"/>
          <w:sz w:val="23"/>
        </w:rPr>
        <w:t> </w:t>
      </w:r>
      <w:r>
        <w:rPr>
          <w:sz w:val="23"/>
        </w:rPr>
        <w:t>enfoque</w:t>
      </w:r>
      <w:r>
        <w:rPr>
          <w:spacing w:val="-9"/>
          <w:sz w:val="23"/>
        </w:rPr>
        <w:t> </w:t>
      </w:r>
      <w:r>
        <w:rPr>
          <w:sz w:val="23"/>
        </w:rPr>
        <w:t>utilizado</w:t>
      </w:r>
      <w:r>
        <w:rPr>
          <w:spacing w:val="-10"/>
          <w:sz w:val="23"/>
        </w:rPr>
        <w:t> </w:t>
      </w:r>
      <w:r>
        <w:rPr>
          <w:sz w:val="23"/>
        </w:rPr>
        <w:t>para aminorar estos efectos ha sido el desarrollo de materiales compuestos que absorban la energía generada durante los</w:t>
      </w:r>
      <w:r>
        <w:rPr>
          <w:spacing w:val="-4"/>
          <w:sz w:val="23"/>
        </w:rPr>
        <w:t> </w:t>
      </w:r>
      <w:r>
        <w:rPr>
          <w:sz w:val="23"/>
        </w:rPr>
        <w:t>impactos.</w:t>
      </w:r>
    </w:p>
    <w:p>
      <w:pPr>
        <w:pStyle w:val="BodyText"/>
        <w:rPr>
          <w:sz w:val="26"/>
        </w:rPr>
      </w:pPr>
    </w:p>
    <w:p>
      <w:pPr>
        <w:pStyle w:val="BodyText"/>
        <w:spacing w:before="10"/>
        <w:rPr>
          <w:sz w:val="25"/>
        </w:rPr>
      </w:pPr>
    </w:p>
    <w:p>
      <w:pPr>
        <w:spacing w:line="360" w:lineRule="auto" w:before="1"/>
        <w:ind w:left="201" w:right="638" w:firstLine="719"/>
        <w:jc w:val="both"/>
        <w:rPr>
          <w:sz w:val="23"/>
        </w:rPr>
      </w:pPr>
      <w:r>
        <w:rPr>
          <w:sz w:val="23"/>
        </w:rPr>
        <w:t>El objetivo del presente estudio fue desarrollar un nuevo tipo de materiales compuestos denominado espumas sintácticas, a fin de incrementar su capacidad de absorción de energía bajo condiciones de impacto. Las espumas sintácticas están constituidas por esferas huecas de carburo de silicio embebidas en aleaciones de aluminio</w:t>
      </w:r>
      <w:r>
        <w:rPr>
          <w:spacing w:val="-6"/>
          <w:sz w:val="23"/>
        </w:rPr>
        <w:t> </w:t>
      </w:r>
      <w:r>
        <w:rPr>
          <w:sz w:val="23"/>
        </w:rPr>
        <w:t>y</w:t>
      </w:r>
      <w:r>
        <w:rPr>
          <w:spacing w:val="-7"/>
          <w:sz w:val="23"/>
        </w:rPr>
        <w:t> </w:t>
      </w:r>
      <w:r>
        <w:rPr>
          <w:sz w:val="23"/>
        </w:rPr>
        <w:t>magnesio.</w:t>
      </w:r>
      <w:r>
        <w:rPr>
          <w:spacing w:val="-5"/>
          <w:sz w:val="23"/>
        </w:rPr>
        <w:t> </w:t>
      </w:r>
      <w:r>
        <w:rPr>
          <w:sz w:val="23"/>
        </w:rPr>
        <w:t>La</w:t>
      </w:r>
      <w:r>
        <w:rPr>
          <w:spacing w:val="-5"/>
          <w:sz w:val="23"/>
        </w:rPr>
        <w:t> </w:t>
      </w:r>
      <w:r>
        <w:rPr>
          <w:sz w:val="23"/>
        </w:rPr>
        <w:t>síntesis</w:t>
      </w:r>
      <w:r>
        <w:rPr>
          <w:spacing w:val="-5"/>
          <w:sz w:val="23"/>
        </w:rPr>
        <w:t> </w:t>
      </w:r>
      <w:r>
        <w:rPr>
          <w:sz w:val="23"/>
        </w:rPr>
        <w:t>de</w:t>
      </w:r>
      <w:r>
        <w:rPr>
          <w:spacing w:val="-5"/>
          <w:sz w:val="23"/>
        </w:rPr>
        <w:t> </w:t>
      </w:r>
      <w:r>
        <w:rPr>
          <w:sz w:val="23"/>
        </w:rPr>
        <w:t>la</w:t>
      </w:r>
      <w:r>
        <w:rPr>
          <w:spacing w:val="-5"/>
          <w:sz w:val="23"/>
        </w:rPr>
        <w:t> </w:t>
      </w:r>
      <w:r>
        <w:rPr>
          <w:sz w:val="23"/>
        </w:rPr>
        <w:t>espumas</w:t>
      </w:r>
      <w:r>
        <w:rPr>
          <w:spacing w:val="-5"/>
          <w:sz w:val="23"/>
        </w:rPr>
        <w:t> </w:t>
      </w:r>
      <w:r>
        <w:rPr>
          <w:sz w:val="23"/>
        </w:rPr>
        <w:t>comprendió</w:t>
      </w:r>
      <w:r>
        <w:rPr>
          <w:spacing w:val="-5"/>
          <w:sz w:val="23"/>
        </w:rPr>
        <w:t> </w:t>
      </w:r>
      <w:r>
        <w:rPr>
          <w:sz w:val="23"/>
        </w:rPr>
        <w:t>la</w:t>
      </w:r>
      <w:r>
        <w:rPr>
          <w:spacing w:val="-6"/>
          <w:sz w:val="23"/>
        </w:rPr>
        <w:t> </w:t>
      </w:r>
      <w:r>
        <w:rPr>
          <w:sz w:val="23"/>
        </w:rPr>
        <w:t>infiltración</w:t>
      </w:r>
      <w:r>
        <w:rPr>
          <w:spacing w:val="-5"/>
          <w:sz w:val="23"/>
        </w:rPr>
        <w:t> </w:t>
      </w:r>
      <w:r>
        <w:rPr>
          <w:sz w:val="23"/>
        </w:rPr>
        <w:t>de</w:t>
      </w:r>
      <w:r>
        <w:rPr>
          <w:spacing w:val="-3"/>
          <w:sz w:val="23"/>
        </w:rPr>
        <w:t> </w:t>
      </w:r>
      <w:r>
        <w:rPr>
          <w:sz w:val="23"/>
        </w:rPr>
        <w:t>las</w:t>
      </w:r>
      <w:r>
        <w:rPr>
          <w:spacing w:val="-5"/>
          <w:sz w:val="23"/>
        </w:rPr>
        <w:t> </w:t>
      </w:r>
      <w:r>
        <w:rPr>
          <w:sz w:val="23"/>
        </w:rPr>
        <w:t>esferas por el metal fundido a presión sub-atmosférica. Tras el impacto, las esferas huecas contenidas en la espuma colapsan gradualmente, absorbiendo la mayor parte de la energía del</w:t>
      </w:r>
      <w:r>
        <w:rPr>
          <w:spacing w:val="-3"/>
          <w:sz w:val="23"/>
        </w:rPr>
        <w:t> </w:t>
      </w:r>
      <w:r>
        <w:rPr>
          <w:sz w:val="23"/>
        </w:rPr>
        <w:t>impacto.</w:t>
      </w:r>
    </w:p>
    <w:p>
      <w:pPr>
        <w:pStyle w:val="BodyText"/>
        <w:spacing w:before="9"/>
        <w:rPr>
          <w:sz w:val="20"/>
        </w:rPr>
      </w:pPr>
    </w:p>
    <w:p>
      <w:pPr>
        <w:spacing w:line="360" w:lineRule="auto" w:before="0"/>
        <w:ind w:left="246" w:right="634" w:firstLine="674"/>
        <w:jc w:val="both"/>
        <w:rPr>
          <w:sz w:val="23"/>
        </w:rPr>
      </w:pPr>
      <w:r>
        <w:rPr>
          <w:sz w:val="23"/>
        </w:rPr>
        <w:t>Los resultados alcanzados confirmaron la capacidad de absorción de energía de las</w:t>
      </w:r>
      <w:r>
        <w:rPr>
          <w:spacing w:val="-11"/>
          <w:sz w:val="23"/>
        </w:rPr>
        <w:t> </w:t>
      </w:r>
      <w:r>
        <w:rPr>
          <w:sz w:val="23"/>
        </w:rPr>
        <w:t>espumas</w:t>
      </w:r>
      <w:r>
        <w:rPr>
          <w:spacing w:val="-11"/>
          <w:sz w:val="23"/>
        </w:rPr>
        <w:t> </w:t>
      </w:r>
      <w:r>
        <w:rPr>
          <w:sz w:val="23"/>
        </w:rPr>
        <w:t>sintetizadas</w:t>
      </w:r>
      <w:r>
        <w:rPr>
          <w:spacing w:val="-11"/>
          <w:sz w:val="23"/>
        </w:rPr>
        <w:t> </w:t>
      </w:r>
      <w:r>
        <w:rPr>
          <w:sz w:val="23"/>
        </w:rPr>
        <w:t>en</w:t>
      </w:r>
      <w:r>
        <w:rPr>
          <w:spacing w:val="-12"/>
          <w:sz w:val="23"/>
        </w:rPr>
        <w:t> </w:t>
      </w:r>
      <w:r>
        <w:rPr>
          <w:sz w:val="23"/>
        </w:rPr>
        <w:t>el</w:t>
      </w:r>
      <w:r>
        <w:rPr>
          <w:spacing w:val="-11"/>
          <w:sz w:val="23"/>
        </w:rPr>
        <w:t> </w:t>
      </w:r>
      <w:r>
        <w:rPr>
          <w:sz w:val="23"/>
        </w:rPr>
        <w:t>presente</w:t>
      </w:r>
      <w:r>
        <w:rPr>
          <w:spacing w:val="-12"/>
          <w:sz w:val="23"/>
        </w:rPr>
        <w:t> </w:t>
      </w:r>
      <w:r>
        <w:rPr>
          <w:sz w:val="23"/>
        </w:rPr>
        <w:t>estudio.</w:t>
      </w:r>
      <w:r>
        <w:rPr>
          <w:spacing w:val="-11"/>
          <w:sz w:val="23"/>
        </w:rPr>
        <w:t> </w:t>
      </w:r>
      <w:r>
        <w:rPr>
          <w:sz w:val="23"/>
        </w:rPr>
        <w:t>Los</w:t>
      </w:r>
      <w:r>
        <w:rPr>
          <w:spacing w:val="-11"/>
          <w:sz w:val="23"/>
        </w:rPr>
        <w:t> </w:t>
      </w:r>
      <w:r>
        <w:rPr>
          <w:sz w:val="23"/>
        </w:rPr>
        <w:t>valores</w:t>
      </w:r>
      <w:r>
        <w:rPr>
          <w:spacing w:val="-10"/>
          <w:sz w:val="23"/>
        </w:rPr>
        <w:t> </w:t>
      </w:r>
      <w:r>
        <w:rPr>
          <w:sz w:val="23"/>
        </w:rPr>
        <w:t>obtenidos</w:t>
      </w:r>
      <w:r>
        <w:rPr>
          <w:spacing w:val="-11"/>
          <w:sz w:val="23"/>
        </w:rPr>
        <w:t> </w:t>
      </w:r>
      <w:r>
        <w:rPr>
          <w:sz w:val="23"/>
        </w:rPr>
        <w:t>permiten</w:t>
      </w:r>
      <w:r>
        <w:rPr>
          <w:spacing w:val="-12"/>
          <w:sz w:val="23"/>
        </w:rPr>
        <w:t> </w:t>
      </w:r>
      <w:r>
        <w:rPr>
          <w:sz w:val="23"/>
        </w:rPr>
        <w:t>afirmar que existe una fuerte relación lineal entre las variables estudiadas y el esfuerzo de fluencia de la matriz metálica, con lo cual fueron validadas las dos hipótesis</w:t>
      </w:r>
      <w:r>
        <w:rPr>
          <w:spacing w:val="-28"/>
          <w:sz w:val="23"/>
        </w:rPr>
        <w:t> </w:t>
      </w:r>
      <w:r>
        <w:rPr>
          <w:sz w:val="23"/>
        </w:rPr>
        <w:t>planteadas en la investigación. Asimismo, las espumas sintácticas de aluminio y magnesio estudiadas presentaron una capacidad de absorción de energía (tenacidad especifica) más elevada que muchas de las espumas sintácticas reportadas en la literatura; lo</w:t>
      </w:r>
      <w:r>
        <w:rPr>
          <w:spacing w:val="-41"/>
          <w:sz w:val="23"/>
        </w:rPr>
        <w:t> </w:t>
      </w:r>
      <w:r>
        <w:rPr>
          <w:sz w:val="23"/>
        </w:rPr>
        <w:t>cual nos guía a diversos enfoques en cuanto a cómo optimizar las propiedades de las espumas sintácticas en matriz metálica. El fortalecimiento de la matriz mediante tratamientos</w:t>
      </w:r>
      <w:r>
        <w:rPr>
          <w:spacing w:val="25"/>
          <w:sz w:val="23"/>
        </w:rPr>
        <w:t> </w:t>
      </w:r>
      <w:r>
        <w:rPr>
          <w:sz w:val="23"/>
        </w:rPr>
        <w:t>térmicos</w:t>
      </w:r>
      <w:r>
        <w:rPr>
          <w:spacing w:val="27"/>
          <w:sz w:val="23"/>
        </w:rPr>
        <w:t> </w:t>
      </w:r>
      <w:r>
        <w:rPr>
          <w:sz w:val="23"/>
        </w:rPr>
        <w:t>demostró</w:t>
      </w:r>
      <w:r>
        <w:rPr>
          <w:spacing w:val="24"/>
          <w:sz w:val="23"/>
        </w:rPr>
        <w:t> </w:t>
      </w:r>
      <w:r>
        <w:rPr>
          <w:sz w:val="23"/>
        </w:rPr>
        <w:t>ser</w:t>
      </w:r>
      <w:r>
        <w:rPr>
          <w:spacing w:val="27"/>
          <w:sz w:val="23"/>
        </w:rPr>
        <w:t> </w:t>
      </w:r>
      <w:r>
        <w:rPr>
          <w:sz w:val="23"/>
        </w:rPr>
        <w:t>una</w:t>
      </w:r>
      <w:r>
        <w:rPr>
          <w:spacing w:val="25"/>
          <w:sz w:val="23"/>
        </w:rPr>
        <w:t> </w:t>
      </w:r>
      <w:r>
        <w:rPr>
          <w:sz w:val="23"/>
        </w:rPr>
        <w:t>manera</w:t>
      </w:r>
      <w:r>
        <w:rPr>
          <w:spacing w:val="26"/>
          <w:sz w:val="23"/>
        </w:rPr>
        <w:t> </w:t>
      </w:r>
      <w:r>
        <w:rPr>
          <w:sz w:val="23"/>
        </w:rPr>
        <w:t>eficaz</w:t>
      </w:r>
      <w:r>
        <w:rPr>
          <w:spacing w:val="25"/>
          <w:sz w:val="23"/>
        </w:rPr>
        <w:t> </w:t>
      </w:r>
      <w:r>
        <w:rPr>
          <w:sz w:val="23"/>
        </w:rPr>
        <w:t>para</w:t>
      </w:r>
      <w:r>
        <w:rPr>
          <w:spacing w:val="24"/>
          <w:sz w:val="23"/>
        </w:rPr>
        <w:t> </w:t>
      </w:r>
      <w:r>
        <w:rPr>
          <w:sz w:val="23"/>
        </w:rPr>
        <w:t>mejorar</w:t>
      </w:r>
      <w:r>
        <w:rPr>
          <w:spacing w:val="22"/>
          <w:sz w:val="23"/>
        </w:rPr>
        <w:t> </w:t>
      </w:r>
      <w:r>
        <w:rPr>
          <w:sz w:val="23"/>
        </w:rPr>
        <w:t>las</w:t>
      </w:r>
      <w:r>
        <w:rPr>
          <w:spacing w:val="28"/>
          <w:sz w:val="23"/>
        </w:rPr>
        <w:t> </w:t>
      </w:r>
      <w:r>
        <w:rPr>
          <w:sz w:val="23"/>
        </w:rPr>
        <w:t>propiedades</w:t>
      </w:r>
    </w:p>
    <w:p>
      <w:pPr>
        <w:spacing w:after="0" w:line="360" w:lineRule="auto"/>
        <w:jc w:val="both"/>
        <w:rPr>
          <w:sz w:val="23"/>
        </w:rPr>
        <w:sectPr>
          <w:pgSz w:w="12240" w:h="15840"/>
          <w:pgMar w:header="0" w:footer="1869" w:top="1400" w:bottom="2060" w:left="1520" w:right="940"/>
        </w:sectPr>
      </w:pPr>
    </w:p>
    <w:p>
      <w:pPr>
        <w:spacing w:before="76"/>
        <w:ind w:left="246" w:right="0" w:firstLine="0"/>
        <w:jc w:val="left"/>
        <w:rPr>
          <w:sz w:val="23"/>
        </w:rPr>
      </w:pPr>
      <w:r>
        <w:rPr>
          <w:sz w:val="23"/>
        </w:rPr>
        <w:t>específicas de las espumas sintácticas.</w:t>
      </w:r>
    </w:p>
    <w:p>
      <w:pPr>
        <w:pStyle w:val="BodyText"/>
        <w:rPr>
          <w:sz w:val="26"/>
        </w:rPr>
      </w:pPr>
    </w:p>
    <w:p>
      <w:pPr>
        <w:pStyle w:val="BodyText"/>
        <w:rPr>
          <w:sz w:val="23"/>
        </w:rPr>
      </w:pPr>
    </w:p>
    <w:p>
      <w:pPr>
        <w:spacing w:before="0"/>
        <w:ind w:left="201" w:right="0" w:firstLine="0"/>
        <w:jc w:val="left"/>
        <w:rPr>
          <w:sz w:val="23"/>
        </w:rPr>
      </w:pPr>
      <w:r>
        <w:rPr>
          <w:b/>
          <w:sz w:val="23"/>
        </w:rPr>
        <w:t>Palabras clave: </w:t>
      </w:r>
      <w:r>
        <w:rPr>
          <w:sz w:val="23"/>
        </w:rPr>
        <w:t>espumas sintácticas, materiales compuestos</w:t>
      </w:r>
    </w:p>
    <w:p>
      <w:pPr>
        <w:spacing w:after="0"/>
        <w:jc w:val="left"/>
        <w:rPr>
          <w:sz w:val="23"/>
        </w:rPr>
        <w:sectPr>
          <w:pgSz w:w="12240" w:h="15840"/>
          <w:pgMar w:header="0" w:footer="1869" w:top="1400" w:bottom="2060" w:left="1520" w:right="940"/>
        </w:sectPr>
      </w:pPr>
    </w:p>
    <w:p>
      <w:pPr>
        <w:pStyle w:val="Heading2"/>
        <w:spacing w:before="77"/>
        <w:ind w:left="0" w:right="434" w:firstLine="0"/>
        <w:jc w:val="center"/>
      </w:pPr>
      <w:bookmarkStart w:name="_TOC_250006" w:id="4"/>
      <w:bookmarkEnd w:id="4"/>
      <w:r>
        <w:rPr/>
        <w:t>INTRODUCCIÓN</w:t>
      </w:r>
    </w:p>
    <w:p>
      <w:pPr>
        <w:pStyle w:val="BodyText"/>
        <w:rPr>
          <w:b/>
          <w:sz w:val="26"/>
        </w:rPr>
      </w:pPr>
    </w:p>
    <w:p>
      <w:pPr>
        <w:pStyle w:val="BodyText"/>
        <w:rPr>
          <w:b/>
          <w:sz w:val="26"/>
        </w:rPr>
      </w:pPr>
    </w:p>
    <w:p>
      <w:pPr>
        <w:pStyle w:val="BodyText"/>
        <w:rPr>
          <w:b/>
          <w:sz w:val="26"/>
        </w:rPr>
      </w:pPr>
    </w:p>
    <w:p>
      <w:pPr>
        <w:pStyle w:val="BodyText"/>
        <w:spacing w:before="3"/>
        <w:rPr>
          <w:b/>
          <w:sz w:val="34"/>
        </w:rPr>
      </w:pPr>
    </w:p>
    <w:p>
      <w:pPr>
        <w:pStyle w:val="BodyText"/>
        <w:spacing w:line="360" w:lineRule="auto"/>
        <w:ind w:left="755" w:right="748" w:firstLine="360"/>
        <w:jc w:val="both"/>
      </w:pPr>
      <w:r>
        <w:rPr/>
        <w:t>Las espumas metálicas sintácticas son materiales compuestos que están constituidas por partículas huecas (micro-balones) embebidas en una matriz metálica. Su uso se ha difundido en los últimos años debido a que combinan las propiedades características de un metal tales como elevada resistencia mecánica, deformación, conductividades térmica y eléctrica con las ventajas estructurales de una espuma: baja densidad y una elevada tenacidad específica.</w:t>
      </w:r>
    </w:p>
    <w:p>
      <w:pPr>
        <w:pStyle w:val="BodyText"/>
        <w:rPr>
          <w:sz w:val="26"/>
        </w:rPr>
      </w:pPr>
    </w:p>
    <w:p>
      <w:pPr>
        <w:pStyle w:val="BodyText"/>
        <w:spacing w:line="360" w:lineRule="auto" w:before="221"/>
        <w:ind w:left="755" w:right="753" w:firstLine="360"/>
        <w:jc w:val="both"/>
      </w:pPr>
      <w:r>
        <w:rPr/>
        <w:t>Las características antes mencionadas se traducen en una elevada capacidad de absorción de energía y una alta resistencia a la compresión, propiedades funcionales muy deseables para aplicaciones en las industrias automotriz, naval, aeroespacial, defensa y construcción civil, así como en aplicaciones biomédicas y electrónicas.</w:t>
      </w:r>
    </w:p>
    <w:p>
      <w:pPr>
        <w:pStyle w:val="BodyText"/>
        <w:rPr>
          <w:sz w:val="26"/>
        </w:rPr>
      </w:pPr>
    </w:p>
    <w:p>
      <w:pPr>
        <w:pStyle w:val="BodyText"/>
        <w:spacing w:line="360" w:lineRule="auto" w:before="222"/>
        <w:ind w:left="755" w:right="745" w:firstLine="360"/>
        <w:jc w:val="both"/>
      </w:pPr>
      <w:r>
        <w:rPr/>
        <w:t>El </w:t>
      </w:r>
      <w:r>
        <w:rPr>
          <w:spacing w:val="16"/>
        </w:rPr>
        <w:t>trabajo </w:t>
      </w:r>
      <w:r>
        <w:rPr/>
        <w:t>de investigación </w:t>
      </w:r>
      <w:r>
        <w:rPr>
          <w:spacing w:val="17"/>
        </w:rPr>
        <w:t>efectuado </w:t>
      </w:r>
      <w:r>
        <w:rPr/>
        <w:t>utiliza los resultados experimentales</w:t>
      </w:r>
      <w:r>
        <w:rPr>
          <w:spacing w:val="-9"/>
        </w:rPr>
        <w:t> </w:t>
      </w:r>
      <w:r>
        <w:rPr/>
        <w:t>alcanzados</w:t>
      </w:r>
      <w:r>
        <w:rPr>
          <w:spacing w:val="-8"/>
        </w:rPr>
        <w:t> </w:t>
      </w:r>
      <w:r>
        <w:rPr/>
        <w:t>en</w:t>
      </w:r>
      <w:r>
        <w:rPr>
          <w:spacing w:val="-7"/>
        </w:rPr>
        <w:t> </w:t>
      </w:r>
      <w:r>
        <w:rPr/>
        <w:t>la</w:t>
      </w:r>
      <w:r>
        <w:rPr>
          <w:spacing w:val="-9"/>
        </w:rPr>
        <w:t> </w:t>
      </w:r>
      <w:r>
        <w:rPr/>
        <w:t>investigación</w:t>
      </w:r>
      <w:r>
        <w:rPr>
          <w:spacing w:val="-4"/>
        </w:rPr>
        <w:t> </w:t>
      </w:r>
      <w:r>
        <w:rPr/>
        <w:t>básica-teórica</w:t>
      </w:r>
      <w:r>
        <w:rPr>
          <w:spacing w:val="-17"/>
        </w:rPr>
        <w:t> </w:t>
      </w:r>
      <w:r>
        <w:rPr/>
        <w:t>correspondiente a este tipo de materiales y que constituyó la Tesis de Maestría del autor “Síntesis y propiedades bajo compresión de espumas sintácticas de aluminio (Al-A206/SiC) y magnesio</w:t>
      </w:r>
      <w:r>
        <w:rPr>
          <w:spacing w:val="-6"/>
        </w:rPr>
        <w:t> </w:t>
      </w:r>
      <w:r>
        <w:rPr/>
        <w:t>(Mg-AZ91/SiC)”.</w:t>
      </w:r>
    </w:p>
    <w:p>
      <w:pPr>
        <w:pStyle w:val="BodyText"/>
        <w:rPr>
          <w:sz w:val="26"/>
        </w:rPr>
      </w:pPr>
    </w:p>
    <w:p>
      <w:pPr>
        <w:pStyle w:val="BodyText"/>
        <w:spacing w:before="9"/>
        <w:rPr>
          <w:sz w:val="37"/>
        </w:rPr>
      </w:pPr>
    </w:p>
    <w:p>
      <w:pPr>
        <w:pStyle w:val="BodyText"/>
        <w:spacing w:line="360" w:lineRule="auto"/>
        <w:ind w:left="755" w:right="745" w:firstLine="360"/>
        <w:jc w:val="both"/>
      </w:pPr>
      <w:r>
        <w:rPr/>
        <w:t>Sobre la base de dicha investigación y los parámetros utilizados en la síntesis de estos materiales se efectuó una evaluación comparativa de las espumas sintácticas sintetizadas para diferentes combinaciones de matrices metálicas y partículas huecas de refuerzo (micro-balones). La evaluación ha</w:t>
      </w:r>
    </w:p>
    <w:p>
      <w:pPr>
        <w:spacing w:after="0" w:line="360" w:lineRule="auto"/>
        <w:jc w:val="both"/>
        <w:sectPr>
          <w:pgSz w:w="12240" w:h="15840"/>
          <w:pgMar w:header="0" w:footer="1869" w:top="1400" w:bottom="2060" w:left="1520" w:right="940"/>
        </w:sectPr>
      </w:pPr>
    </w:p>
    <w:p>
      <w:pPr>
        <w:pStyle w:val="BodyText"/>
        <w:spacing w:line="360" w:lineRule="auto" w:before="79"/>
        <w:ind w:left="755" w:right="754"/>
      </w:pPr>
      <w:r>
        <w:rPr/>
        <w:t>sido complementada con los resultados de investigaciones publicadas sobre este tipo de materiales para diferentes matrices y micro-balones de refuerzo.</w:t>
      </w:r>
    </w:p>
    <w:p>
      <w:pPr>
        <w:spacing w:after="0" w:line="360" w:lineRule="auto"/>
        <w:sectPr>
          <w:pgSz w:w="12240" w:h="15840"/>
          <w:pgMar w:header="0" w:footer="1869" w:top="1400" w:bottom="2060" w:left="1520" w:right="940"/>
        </w:sectPr>
      </w:pPr>
    </w:p>
    <w:p>
      <w:pPr>
        <w:pStyle w:val="BodyText"/>
        <w:rPr>
          <w:sz w:val="16"/>
        </w:rPr>
      </w:pPr>
    </w:p>
    <w:p>
      <w:pPr>
        <w:pStyle w:val="Heading2"/>
        <w:numPr>
          <w:ilvl w:val="0"/>
          <w:numId w:val="6"/>
        </w:numPr>
        <w:tabs>
          <w:tab w:pos="1835" w:val="left" w:leader="none"/>
          <w:tab w:pos="1836" w:val="left" w:leader="none"/>
        </w:tabs>
        <w:spacing w:line="240" w:lineRule="auto" w:before="93" w:after="0"/>
        <w:ind w:left="1835" w:right="0" w:hanging="721"/>
        <w:jc w:val="left"/>
      </w:pPr>
      <w:r>
        <w:rPr/>
        <w:t>PLANTEAMIENTO DEL PROBLEMA DE</w:t>
      </w:r>
      <w:r>
        <w:rPr>
          <w:spacing w:val="-11"/>
        </w:rPr>
        <w:t> </w:t>
      </w:r>
      <w:r>
        <w:rPr/>
        <w:t>INVESTIGACION</w:t>
      </w:r>
    </w:p>
    <w:p>
      <w:pPr>
        <w:pStyle w:val="BodyText"/>
        <w:rPr>
          <w:b/>
          <w:sz w:val="26"/>
        </w:rPr>
      </w:pPr>
    </w:p>
    <w:p>
      <w:pPr>
        <w:pStyle w:val="BodyText"/>
        <w:rPr>
          <w:b/>
          <w:sz w:val="26"/>
        </w:rPr>
      </w:pPr>
    </w:p>
    <w:p>
      <w:pPr>
        <w:pStyle w:val="BodyText"/>
        <w:spacing w:before="8"/>
        <w:rPr>
          <w:b/>
          <w:sz w:val="28"/>
        </w:rPr>
      </w:pPr>
    </w:p>
    <w:p>
      <w:pPr>
        <w:pStyle w:val="Heading2"/>
        <w:numPr>
          <w:ilvl w:val="1"/>
          <w:numId w:val="7"/>
        </w:numPr>
        <w:tabs>
          <w:tab w:pos="2242" w:val="left" w:leader="none"/>
        </w:tabs>
        <w:spacing w:line="240" w:lineRule="auto" w:before="1" w:after="0"/>
        <w:ind w:left="2241" w:right="0" w:hanging="407"/>
        <w:jc w:val="left"/>
      </w:pPr>
      <w:bookmarkStart w:name="_bookmark0" w:id="5"/>
      <w:bookmarkEnd w:id="5"/>
      <w:r>
        <w:rPr>
          <w:b w:val="0"/>
        </w:rPr>
      </w:r>
      <w:bookmarkStart w:name="_bookmark0" w:id="6"/>
      <w:bookmarkEnd w:id="6"/>
      <w:r>
        <w:rPr/>
        <w:t>Situ</w:t>
      </w:r>
      <w:r>
        <w:rPr/>
        <w:t>ación</w:t>
      </w:r>
      <w:r>
        <w:rPr>
          <w:spacing w:val="-1"/>
        </w:rPr>
        <w:t> </w:t>
      </w:r>
      <w:r>
        <w:rPr/>
        <w:t>Problemática</w:t>
      </w:r>
    </w:p>
    <w:p>
      <w:pPr>
        <w:pStyle w:val="BodyText"/>
        <w:rPr>
          <w:b/>
          <w:sz w:val="26"/>
        </w:rPr>
      </w:pPr>
    </w:p>
    <w:p>
      <w:pPr>
        <w:pStyle w:val="BodyText"/>
        <w:rPr>
          <w:b/>
          <w:sz w:val="26"/>
        </w:rPr>
      </w:pPr>
    </w:p>
    <w:p>
      <w:pPr>
        <w:pStyle w:val="BodyText"/>
        <w:spacing w:before="7"/>
        <w:rPr>
          <w:b/>
          <w:sz w:val="20"/>
        </w:rPr>
      </w:pPr>
    </w:p>
    <w:p>
      <w:pPr>
        <w:pStyle w:val="BodyText"/>
        <w:spacing w:line="360" w:lineRule="auto"/>
        <w:ind w:left="755" w:right="757" w:firstLine="360"/>
        <w:jc w:val="both"/>
      </w:pPr>
      <w:r>
        <w:rPr/>
        <w:t>La presente investigación se enmarca fundamentalmente dentro del ámbito del transporte terrestre con vehículos que utilizan combustibles  fósiles para su funcionamiento. Más del 27% de la </w:t>
      </w:r>
      <w:r>
        <w:rPr>
          <w:spacing w:val="-3"/>
        </w:rPr>
        <w:t>energía </w:t>
      </w:r>
      <w:r>
        <w:rPr/>
        <w:t>total consumida a nivel mundial es utilizada para el transporte, tanto comercial como de pasajeros,</w:t>
      </w:r>
      <w:r>
        <w:rPr>
          <w:spacing w:val="-11"/>
        </w:rPr>
        <w:t> </w:t>
      </w:r>
      <w:r>
        <w:rPr/>
        <w:t>prácticamente</w:t>
      </w:r>
      <w:r>
        <w:rPr>
          <w:spacing w:val="-10"/>
        </w:rPr>
        <w:t> </w:t>
      </w:r>
      <w:r>
        <w:rPr/>
        <w:t>la</w:t>
      </w:r>
      <w:r>
        <w:rPr>
          <w:spacing w:val="-10"/>
        </w:rPr>
        <w:t> </w:t>
      </w:r>
      <w:r>
        <w:rPr/>
        <w:t>totalidad</w:t>
      </w:r>
      <w:r>
        <w:rPr>
          <w:spacing w:val="-10"/>
        </w:rPr>
        <w:t> </w:t>
      </w:r>
      <w:r>
        <w:rPr/>
        <w:t>de</w:t>
      </w:r>
      <w:r>
        <w:rPr>
          <w:spacing w:val="-14"/>
        </w:rPr>
        <w:t> </w:t>
      </w:r>
      <w:r>
        <w:rPr/>
        <w:t>estos</w:t>
      </w:r>
      <w:r>
        <w:rPr>
          <w:spacing w:val="-13"/>
        </w:rPr>
        <w:t> </w:t>
      </w:r>
      <w:r>
        <w:rPr/>
        <w:t>medios</w:t>
      </w:r>
      <w:r>
        <w:rPr>
          <w:spacing w:val="-12"/>
        </w:rPr>
        <w:t> </w:t>
      </w:r>
      <w:r>
        <w:rPr/>
        <w:t>de</w:t>
      </w:r>
      <w:r>
        <w:rPr>
          <w:spacing w:val="-10"/>
        </w:rPr>
        <w:t> </w:t>
      </w:r>
      <w:r>
        <w:rPr/>
        <w:t>transporte</w:t>
      </w:r>
      <w:r>
        <w:rPr>
          <w:spacing w:val="-16"/>
        </w:rPr>
        <w:t> </w:t>
      </w:r>
      <w:r>
        <w:rPr/>
        <w:t>dependen de la gasolina o el combustible diesel para su</w:t>
      </w:r>
      <w:r>
        <w:rPr>
          <w:spacing w:val="-17"/>
        </w:rPr>
        <w:t> </w:t>
      </w:r>
      <w:r>
        <w:rPr/>
        <w:t>funcionamiento.</w:t>
      </w:r>
    </w:p>
    <w:p>
      <w:pPr>
        <w:pStyle w:val="BodyText"/>
        <w:rPr>
          <w:sz w:val="26"/>
        </w:rPr>
      </w:pPr>
    </w:p>
    <w:p>
      <w:pPr>
        <w:pStyle w:val="BodyText"/>
        <w:spacing w:line="360" w:lineRule="auto" w:before="220"/>
        <w:ind w:left="755" w:right="751" w:firstLine="360"/>
        <w:jc w:val="both"/>
      </w:pPr>
      <w:r>
        <w:rPr/>
        <w:t>Considerando que este tipo de combustibles constituyen fuentes de energía no renovable y sus precios están sujetos a los vaivenes del mercado, la reducción en su consumo es un aspecto muy relevante dentro de las políticas de </w:t>
      </w:r>
      <w:r>
        <w:rPr>
          <w:spacing w:val="21"/>
        </w:rPr>
        <w:t>mejora </w:t>
      </w:r>
      <w:r>
        <w:rPr/>
        <w:t>del transporte, tanto en países  industrializados como  en aquellos en </w:t>
      </w:r>
      <w:r>
        <w:rPr>
          <w:spacing w:val="-3"/>
        </w:rPr>
        <w:t>vías </w:t>
      </w:r>
      <w:r>
        <w:rPr/>
        <w:t>de</w:t>
      </w:r>
      <w:r>
        <w:rPr>
          <w:spacing w:val="-2"/>
        </w:rPr>
        <w:t> </w:t>
      </w:r>
      <w:r>
        <w:rPr/>
        <w:t>desarrollo.</w:t>
      </w:r>
    </w:p>
    <w:p>
      <w:pPr>
        <w:pStyle w:val="BodyText"/>
        <w:rPr>
          <w:sz w:val="26"/>
        </w:rPr>
      </w:pPr>
    </w:p>
    <w:p>
      <w:pPr>
        <w:pStyle w:val="BodyText"/>
        <w:spacing w:line="360" w:lineRule="auto" w:before="221"/>
        <w:ind w:left="755" w:right="758" w:firstLine="360"/>
        <w:jc w:val="both"/>
      </w:pPr>
      <w:r>
        <w:rPr/>
        <w:t>Existe además, una razón muy importante para la reducción del consumo de estos combustibles. En años recientes, las emisiones de los motores de los automóviles y su contribución al calentamiento global han sido tema de preocupación en diversos foros sobre la protección del medio ambiente.</w:t>
      </w:r>
    </w:p>
    <w:p>
      <w:pPr>
        <w:pStyle w:val="BodyText"/>
        <w:rPr>
          <w:sz w:val="26"/>
        </w:rPr>
      </w:pPr>
    </w:p>
    <w:p>
      <w:pPr>
        <w:pStyle w:val="BodyText"/>
        <w:spacing w:before="11"/>
        <w:rPr>
          <w:sz w:val="37"/>
        </w:rPr>
      </w:pPr>
    </w:p>
    <w:p>
      <w:pPr>
        <w:pStyle w:val="BodyText"/>
        <w:spacing w:line="360" w:lineRule="auto"/>
        <w:ind w:left="755" w:right="761" w:firstLine="360"/>
        <w:jc w:val="both"/>
      </w:pPr>
      <w:r>
        <w:rPr/>
        <w:t>En la actualidad existe consenso a nivel mundial, acerca de que la reducción en las emisiones de los vehículos es una prioridad para la conservación del medio ambiente de nuestro planeta.</w:t>
      </w:r>
    </w:p>
    <w:p>
      <w:pPr>
        <w:spacing w:after="0" w:line="360" w:lineRule="auto"/>
        <w:jc w:val="both"/>
        <w:sectPr>
          <w:pgSz w:w="12240" w:h="15840"/>
          <w:pgMar w:header="0" w:footer="1869" w:top="1500" w:bottom="2060" w:left="1520" w:right="940"/>
        </w:sectPr>
      </w:pPr>
    </w:p>
    <w:p>
      <w:pPr>
        <w:pStyle w:val="BodyText"/>
        <w:spacing w:line="357" w:lineRule="auto" w:before="79"/>
        <w:ind w:left="755" w:right="755" w:firstLine="360"/>
        <w:jc w:val="both"/>
      </w:pPr>
      <w:r>
        <w:rPr/>
        <w:t>La reducción en el consumo de combustible fósiles requiere de avances tecnológicos en diferentes campos, entre los cuales podemos mencionar:</w:t>
      </w:r>
    </w:p>
    <w:p>
      <w:pPr>
        <w:pStyle w:val="BodyText"/>
        <w:rPr>
          <w:sz w:val="26"/>
        </w:rPr>
      </w:pPr>
    </w:p>
    <w:p>
      <w:pPr>
        <w:pStyle w:val="ListParagraph"/>
        <w:numPr>
          <w:ilvl w:val="0"/>
          <w:numId w:val="8"/>
        </w:numPr>
        <w:tabs>
          <w:tab w:pos="1476" w:val="left" w:leader="none"/>
        </w:tabs>
        <w:spacing w:line="355" w:lineRule="auto" w:before="221" w:after="0"/>
        <w:ind w:left="1475" w:right="752" w:hanging="360"/>
        <w:jc w:val="both"/>
        <w:rPr>
          <w:sz w:val="24"/>
        </w:rPr>
      </w:pPr>
      <w:r>
        <w:rPr>
          <w:sz w:val="24"/>
        </w:rPr>
        <w:t>Un incremento en la eficiencia de los vehículos existentes, para este fin diferentes enfoques vienen siendo utilizados, tales como el uso de motores que se enciendan y apaguen durante las paradas del vehículo, mejoras en el diseño aerodinámico de los vehículos y una reducción en el tamaño del</w:t>
      </w:r>
      <w:r>
        <w:rPr>
          <w:spacing w:val="-5"/>
          <w:sz w:val="24"/>
        </w:rPr>
        <w:t> </w:t>
      </w:r>
      <w:r>
        <w:rPr>
          <w:sz w:val="24"/>
        </w:rPr>
        <w:t>motor.</w:t>
      </w:r>
    </w:p>
    <w:p>
      <w:pPr>
        <w:pStyle w:val="BodyText"/>
        <w:rPr>
          <w:sz w:val="26"/>
        </w:rPr>
      </w:pPr>
    </w:p>
    <w:p>
      <w:pPr>
        <w:pStyle w:val="ListParagraph"/>
        <w:numPr>
          <w:ilvl w:val="0"/>
          <w:numId w:val="8"/>
        </w:numPr>
        <w:tabs>
          <w:tab w:pos="1476" w:val="left" w:leader="none"/>
        </w:tabs>
        <w:spacing w:line="350" w:lineRule="auto" w:before="181" w:after="0"/>
        <w:ind w:left="1475" w:right="757" w:hanging="360"/>
        <w:jc w:val="both"/>
        <w:rPr>
          <w:sz w:val="24"/>
        </w:rPr>
      </w:pPr>
      <w:r>
        <w:rPr>
          <w:sz w:val="24"/>
        </w:rPr>
        <w:t>El desarrollo de tecnologías que utilicen combustibles alternativos, como la energía eléctrica, celdas de combustible, y motores que no consuman gasolina.</w:t>
      </w:r>
    </w:p>
    <w:p>
      <w:pPr>
        <w:pStyle w:val="ListParagraph"/>
        <w:numPr>
          <w:ilvl w:val="0"/>
          <w:numId w:val="8"/>
        </w:numPr>
        <w:tabs>
          <w:tab w:pos="1476" w:val="left" w:leader="none"/>
        </w:tabs>
        <w:spacing w:line="355" w:lineRule="auto" w:before="167" w:after="0"/>
        <w:ind w:left="1475" w:right="750" w:hanging="360"/>
        <w:jc w:val="both"/>
        <w:rPr>
          <w:sz w:val="24"/>
        </w:rPr>
      </w:pPr>
      <w:r>
        <w:rPr>
          <w:sz w:val="24"/>
        </w:rPr>
        <w:t>La reducción del peso de los vehículos. Independientemente del desarrollo de las tecnologías antes mencionadas, vehículos más ligeros contribuyen a una reducción en el consumo de energía. Por esta razón el desarrollo de materiales compuestos de bajo peso es una prioridad para el sector</w:t>
      </w:r>
      <w:r>
        <w:rPr>
          <w:spacing w:val="-11"/>
          <w:sz w:val="24"/>
        </w:rPr>
        <w:t> </w:t>
      </w:r>
      <w:r>
        <w:rPr>
          <w:sz w:val="24"/>
        </w:rPr>
        <w:t>automotriz.</w:t>
      </w:r>
    </w:p>
    <w:p>
      <w:pPr>
        <w:pStyle w:val="BodyText"/>
        <w:rPr>
          <w:sz w:val="26"/>
        </w:rPr>
      </w:pPr>
    </w:p>
    <w:p>
      <w:pPr>
        <w:pStyle w:val="BodyText"/>
        <w:spacing w:line="360" w:lineRule="auto" w:before="224"/>
        <w:ind w:left="755" w:right="749" w:firstLine="360"/>
        <w:jc w:val="both"/>
      </w:pPr>
      <w:r>
        <w:rPr/>
        <w:t>Actualmente,</w:t>
      </w:r>
      <w:r>
        <w:rPr>
          <w:spacing w:val="-13"/>
        </w:rPr>
        <w:t> </w:t>
      </w:r>
      <w:r>
        <w:rPr/>
        <w:t>se</w:t>
      </w:r>
      <w:r>
        <w:rPr>
          <w:spacing w:val="-13"/>
        </w:rPr>
        <w:t> </w:t>
      </w:r>
      <w:r>
        <w:rPr/>
        <w:t>han</w:t>
      </w:r>
      <w:r>
        <w:rPr>
          <w:spacing w:val="-12"/>
        </w:rPr>
        <w:t> </w:t>
      </w:r>
      <w:r>
        <w:rPr/>
        <w:t>desarrollado</w:t>
      </w:r>
      <w:r>
        <w:rPr>
          <w:spacing w:val="-13"/>
        </w:rPr>
        <w:t> </w:t>
      </w:r>
      <w:r>
        <w:rPr/>
        <w:t>diferentes</w:t>
      </w:r>
      <w:r>
        <w:rPr>
          <w:spacing w:val="-11"/>
        </w:rPr>
        <w:t> </w:t>
      </w:r>
      <w:r>
        <w:rPr/>
        <w:t>enfoques</w:t>
      </w:r>
      <w:r>
        <w:rPr>
          <w:spacing w:val="-13"/>
        </w:rPr>
        <w:t> </w:t>
      </w:r>
      <w:r>
        <w:rPr/>
        <w:t>para</w:t>
      </w:r>
      <w:r>
        <w:rPr>
          <w:spacing w:val="-13"/>
        </w:rPr>
        <w:t> </w:t>
      </w:r>
      <w:r>
        <w:rPr/>
        <w:t>reducir</w:t>
      </w:r>
      <w:r>
        <w:rPr>
          <w:spacing w:val="40"/>
        </w:rPr>
        <w:t> </w:t>
      </w:r>
      <w:r>
        <w:rPr/>
        <w:t>el</w:t>
      </w:r>
      <w:r>
        <w:rPr>
          <w:spacing w:val="-13"/>
        </w:rPr>
        <w:t> </w:t>
      </w:r>
      <w:r>
        <w:rPr/>
        <w:t>peso de un vehículo, tales como el reemplazo del acero por otros metales (aluminio o magnesio), reemplazo del acero con aceros de mayor resistencia (reducción en el espesor de los elementos), y el uso de espumas metálicas en reemplazo de estructuras metálicas</w:t>
      </w:r>
      <w:r>
        <w:rPr>
          <w:spacing w:val="-6"/>
        </w:rPr>
        <w:t> </w:t>
      </w:r>
      <w:r>
        <w:rPr/>
        <w:t>monolíticas.</w:t>
      </w:r>
    </w:p>
    <w:p>
      <w:pPr>
        <w:pStyle w:val="BodyText"/>
        <w:rPr>
          <w:sz w:val="26"/>
        </w:rPr>
      </w:pPr>
    </w:p>
    <w:p>
      <w:pPr>
        <w:pStyle w:val="BodyText"/>
        <w:spacing w:line="360" w:lineRule="auto" w:before="221"/>
        <w:ind w:left="755" w:right="753" w:firstLine="360"/>
        <w:jc w:val="both"/>
      </w:pPr>
      <w:r>
        <w:rPr/>
        <w:t>Este último tipo de materiales presenta varias ventajas sobre los otros enfoques y puede ser utilizado como parte de estructuras tipo sándwich. De esta forma espumas de aluminio, magnesio y acero pueden ser utilizadas para aplicaciones automotrices.</w:t>
      </w:r>
    </w:p>
    <w:p>
      <w:pPr>
        <w:spacing w:after="0" w:line="360" w:lineRule="auto"/>
        <w:jc w:val="both"/>
        <w:sectPr>
          <w:pgSz w:w="12240" w:h="15840"/>
          <w:pgMar w:header="0" w:footer="1869" w:top="1400" w:bottom="2060" w:left="1520" w:right="940"/>
        </w:sectPr>
      </w:pPr>
    </w:p>
    <w:p>
      <w:pPr>
        <w:pStyle w:val="BodyText"/>
        <w:rPr>
          <w:sz w:val="20"/>
        </w:rPr>
      </w:pPr>
    </w:p>
    <w:p>
      <w:pPr>
        <w:pStyle w:val="BodyText"/>
        <w:rPr>
          <w:sz w:val="20"/>
        </w:rPr>
      </w:pPr>
    </w:p>
    <w:p>
      <w:pPr>
        <w:pStyle w:val="BodyText"/>
        <w:rPr>
          <w:sz w:val="19"/>
        </w:rPr>
      </w:pPr>
    </w:p>
    <w:p>
      <w:pPr>
        <w:pStyle w:val="Heading2"/>
        <w:numPr>
          <w:ilvl w:val="1"/>
          <w:numId w:val="7"/>
        </w:numPr>
        <w:tabs>
          <w:tab w:pos="2242" w:val="left" w:leader="none"/>
        </w:tabs>
        <w:spacing w:line="240" w:lineRule="auto" w:before="93" w:after="0"/>
        <w:ind w:left="2241" w:right="0" w:hanging="407"/>
        <w:jc w:val="left"/>
      </w:pPr>
      <w:bookmarkStart w:name="_bookmark1" w:id="7"/>
      <w:bookmarkEnd w:id="7"/>
      <w:r>
        <w:rPr>
          <w:b w:val="0"/>
        </w:rPr>
      </w:r>
      <w:bookmarkStart w:name="_bookmark1" w:id="8"/>
      <w:bookmarkEnd w:id="8"/>
      <w:r>
        <w:rPr/>
        <w:t>Formula</w:t>
      </w:r>
      <w:r>
        <w:rPr/>
        <w:t>ción del Problema Principal y</w:t>
      </w:r>
      <w:r>
        <w:rPr>
          <w:spacing w:val="-10"/>
        </w:rPr>
        <w:t> </w:t>
      </w:r>
      <w:r>
        <w:rPr/>
        <w:t>Específicos</w:t>
      </w:r>
    </w:p>
    <w:p>
      <w:pPr>
        <w:pStyle w:val="BodyText"/>
        <w:rPr>
          <w:b/>
          <w:sz w:val="26"/>
        </w:rPr>
      </w:pPr>
    </w:p>
    <w:p>
      <w:pPr>
        <w:pStyle w:val="BodyText"/>
        <w:rPr>
          <w:b/>
          <w:sz w:val="26"/>
        </w:rPr>
      </w:pPr>
    </w:p>
    <w:p>
      <w:pPr>
        <w:pStyle w:val="BodyText"/>
        <w:spacing w:before="4"/>
        <w:rPr>
          <w:b/>
          <w:sz w:val="20"/>
        </w:rPr>
      </w:pPr>
    </w:p>
    <w:p>
      <w:pPr>
        <w:pStyle w:val="BodyText"/>
        <w:spacing w:line="360" w:lineRule="auto"/>
        <w:ind w:left="755" w:right="750" w:firstLine="283"/>
        <w:jc w:val="both"/>
      </w:pPr>
      <w:r>
        <w:rPr/>
        <w:t>El presente informe comprende la evaluación comparativa de espumas sintácticas sintetizadas a partir de diferentes combinaciones de matrices metálicas y partículas huecas de refuerzo (micro-balones).</w:t>
      </w:r>
    </w:p>
    <w:p>
      <w:pPr>
        <w:pStyle w:val="BodyText"/>
        <w:rPr>
          <w:sz w:val="26"/>
        </w:rPr>
      </w:pPr>
    </w:p>
    <w:p>
      <w:pPr>
        <w:pStyle w:val="BodyText"/>
        <w:spacing w:before="1"/>
        <w:rPr>
          <w:sz w:val="38"/>
        </w:rPr>
      </w:pPr>
    </w:p>
    <w:p>
      <w:pPr>
        <w:pStyle w:val="BodyText"/>
        <w:spacing w:line="360" w:lineRule="auto"/>
        <w:ind w:left="755" w:right="748" w:firstLine="283"/>
        <w:jc w:val="both"/>
      </w:pPr>
      <w:r>
        <w:rPr/>
        <w:t>La evaluación es efectuada sobre la base del desempeño de estos materiales para aplicaciones que requieren absorción de energía. Por consiguiente, el problema en estudio de la presente investigación aplicada, se resume en las siguientes interrogantes</w:t>
      </w:r>
      <w:r>
        <w:rPr>
          <w:spacing w:val="24"/>
        </w:rPr>
        <w:t> </w:t>
      </w:r>
      <w:r>
        <w:rPr/>
        <w:t>centrales:</w:t>
      </w:r>
    </w:p>
    <w:p>
      <w:pPr>
        <w:pStyle w:val="BodyText"/>
        <w:rPr>
          <w:sz w:val="26"/>
        </w:rPr>
      </w:pPr>
    </w:p>
    <w:p>
      <w:pPr>
        <w:pStyle w:val="BodyText"/>
        <w:spacing w:before="7"/>
        <w:rPr>
          <w:sz w:val="37"/>
        </w:rPr>
      </w:pPr>
    </w:p>
    <w:p>
      <w:pPr>
        <w:pStyle w:val="ListParagraph"/>
        <w:numPr>
          <w:ilvl w:val="0"/>
          <w:numId w:val="9"/>
        </w:numPr>
        <w:tabs>
          <w:tab w:pos="1282" w:val="left" w:leader="none"/>
        </w:tabs>
        <w:spacing w:line="357" w:lineRule="auto" w:before="1" w:after="0"/>
        <w:ind w:left="1281" w:right="909" w:hanging="360"/>
        <w:jc w:val="both"/>
        <w:rPr>
          <w:sz w:val="24"/>
        </w:rPr>
      </w:pPr>
      <w:r>
        <w:rPr>
          <w:sz w:val="24"/>
        </w:rPr>
        <w:t>¿Qué tipo de micro estructura se requiere para obtener espumas sintácticas con una mejor capacidad de absorción de energía que aquellas</w:t>
      </w:r>
      <w:r>
        <w:rPr>
          <w:spacing w:val="-21"/>
          <w:sz w:val="24"/>
        </w:rPr>
        <w:t> </w:t>
      </w:r>
      <w:r>
        <w:rPr>
          <w:sz w:val="24"/>
        </w:rPr>
        <w:t>exhibidas</w:t>
      </w:r>
      <w:r>
        <w:rPr>
          <w:spacing w:val="-21"/>
          <w:sz w:val="24"/>
        </w:rPr>
        <w:t> </w:t>
      </w:r>
      <w:r>
        <w:rPr>
          <w:sz w:val="24"/>
        </w:rPr>
        <w:t>por</w:t>
      </w:r>
      <w:r>
        <w:rPr>
          <w:spacing w:val="-23"/>
          <w:sz w:val="24"/>
        </w:rPr>
        <w:t> </w:t>
      </w:r>
      <w:r>
        <w:rPr>
          <w:sz w:val="24"/>
        </w:rPr>
        <w:t>las</w:t>
      </w:r>
      <w:r>
        <w:rPr>
          <w:spacing w:val="-20"/>
          <w:sz w:val="24"/>
        </w:rPr>
        <w:t> </w:t>
      </w:r>
      <w:r>
        <w:rPr>
          <w:sz w:val="24"/>
        </w:rPr>
        <w:t>espumas</w:t>
      </w:r>
      <w:r>
        <w:rPr>
          <w:spacing w:val="-22"/>
          <w:sz w:val="24"/>
        </w:rPr>
        <w:t> </w:t>
      </w:r>
      <w:r>
        <w:rPr>
          <w:sz w:val="24"/>
        </w:rPr>
        <w:t>metálicas</w:t>
      </w:r>
      <w:r>
        <w:rPr>
          <w:spacing w:val="-24"/>
          <w:sz w:val="24"/>
        </w:rPr>
        <w:t> </w:t>
      </w:r>
      <w:r>
        <w:rPr>
          <w:sz w:val="24"/>
        </w:rPr>
        <w:t>existentes</w:t>
      </w:r>
      <w:r>
        <w:rPr>
          <w:spacing w:val="-23"/>
          <w:sz w:val="24"/>
        </w:rPr>
        <w:t> </w:t>
      </w:r>
      <w:r>
        <w:rPr>
          <w:sz w:val="24"/>
        </w:rPr>
        <w:t>en</w:t>
      </w:r>
      <w:r>
        <w:rPr>
          <w:spacing w:val="-21"/>
          <w:sz w:val="24"/>
        </w:rPr>
        <w:t> </w:t>
      </w:r>
      <w:r>
        <w:rPr>
          <w:sz w:val="24"/>
        </w:rPr>
        <w:t>el</w:t>
      </w:r>
      <w:r>
        <w:rPr>
          <w:spacing w:val="-20"/>
          <w:sz w:val="24"/>
        </w:rPr>
        <w:t> </w:t>
      </w:r>
      <w:r>
        <w:rPr>
          <w:sz w:val="24"/>
        </w:rPr>
        <w:t>mercado?</w:t>
      </w:r>
    </w:p>
    <w:p>
      <w:pPr>
        <w:pStyle w:val="BodyText"/>
        <w:rPr>
          <w:sz w:val="26"/>
        </w:rPr>
      </w:pPr>
    </w:p>
    <w:p>
      <w:pPr>
        <w:pStyle w:val="ListParagraph"/>
        <w:numPr>
          <w:ilvl w:val="0"/>
          <w:numId w:val="9"/>
        </w:numPr>
        <w:tabs>
          <w:tab w:pos="1282" w:val="left" w:leader="none"/>
        </w:tabs>
        <w:spacing w:line="360" w:lineRule="auto" w:before="167" w:after="0"/>
        <w:ind w:left="1281" w:right="974" w:hanging="360"/>
        <w:jc w:val="both"/>
        <w:rPr>
          <w:sz w:val="24"/>
        </w:rPr>
      </w:pPr>
      <w:r>
        <w:rPr>
          <w:sz w:val="24"/>
        </w:rPr>
        <w:t>¿Cuáles</w:t>
      </w:r>
      <w:r>
        <w:rPr>
          <w:spacing w:val="-12"/>
          <w:sz w:val="24"/>
        </w:rPr>
        <w:t> </w:t>
      </w:r>
      <w:r>
        <w:rPr>
          <w:sz w:val="24"/>
        </w:rPr>
        <w:t>es</w:t>
      </w:r>
      <w:r>
        <w:rPr>
          <w:spacing w:val="-14"/>
          <w:sz w:val="24"/>
        </w:rPr>
        <w:t> </w:t>
      </w:r>
      <w:r>
        <w:rPr>
          <w:sz w:val="24"/>
        </w:rPr>
        <w:t>el</w:t>
      </w:r>
      <w:r>
        <w:rPr>
          <w:spacing w:val="-12"/>
          <w:sz w:val="24"/>
        </w:rPr>
        <w:t> </w:t>
      </w:r>
      <w:r>
        <w:rPr>
          <w:sz w:val="24"/>
        </w:rPr>
        <w:t>efecto</w:t>
      </w:r>
      <w:r>
        <w:rPr>
          <w:spacing w:val="-14"/>
          <w:sz w:val="24"/>
        </w:rPr>
        <w:t> </w:t>
      </w:r>
      <w:r>
        <w:rPr>
          <w:sz w:val="24"/>
        </w:rPr>
        <w:t>de</w:t>
      </w:r>
      <w:r>
        <w:rPr>
          <w:spacing w:val="-12"/>
          <w:sz w:val="24"/>
        </w:rPr>
        <w:t> </w:t>
      </w:r>
      <w:r>
        <w:rPr>
          <w:sz w:val="24"/>
        </w:rPr>
        <w:t>la</w:t>
      </w:r>
      <w:r>
        <w:rPr>
          <w:spacing w:val="-11"/>
          <w:sz w:val="24"/>
        </w:rPr>
        <w:t> </w:t>
      </w:r>
      <w:r>
        <w:rPr>
          <w:sz w:val="24"/>
        </w:rPr>
        <w:t>matriz</w:t>
      </w:r>
      <w:r>
        <w:rPr>
          <w:spacing w:val="-17"/>
          <w:sz w:val="24"/>
        </w:rPr>
        <w:t> </w:t>
      </w:r>
      <w:r>
        <w:rPr>
          <w:sz w:val="24"/>
        </w:rPr>
        <w:t>metálica</w:t>
      </w:r>
      <w:r>
        <w:rPr>
          <w:spacing w:val="-12"/>
          <w:sz w:val="24"/>
        </w:rPr>
        <w:t> </w:t>
      </w:r>
      <w:r>
        <w:rPr>
          <w:sz w:val="24"/>
        </w:rPr>
        <w:t>utilizada</w:t>
      </w:r>
      <w:r>
        <w:rPr>
          <w:spacing w:val="-11"/>
          <w:sz w:val="24"/>
        </w:rPr>
        <w:t> </w:t>
      </w:r>
      <w:r>
        <w:rPr>
          <w:sz w:val="24"/>
        </w:rPr>
        <w:t>en</w:t>
      </w:r>
      <w:r>
        <w:rPr>
          <w:spacing w:val="-12"/>
          <w:sz w:val="24"/>
        </w:rPr>
        <w:t> </w:t>
      </w:r>
      <w:r>
        <w:rPr>
          <w:sz w:val="24"/>
        </w:rPr>
        <w:t>el</w:t>
      </w:r>
      <w:r>
        <w:rPr>
          <w:spacing w:val="-13"/>
          <w:sz w:val="24"/>
        </w:rPr>
        <w:t> </w:t>
      </w:r>
      <w:r>
        <w:rPr>
          <w:sz w:val="24"/>
        </w:rPr>
        <w:t>desempeño</w:t>
      </w:r>
      <w:r>
        <w:rPr>
          <w:spacing w:val="-13"/>
          <w:sz w:val="24"/>
        </w:rPr>
        <w:t> </w:t>
      </w:r>
      <w:r>
        <w:rPr>
          <w:sz w:val="24"/>
        </w:rPr>
        <w:t>de las espumas sintácticas como materiales con una elevada capacidad de absorción de</w:t>
      </w:r>
      <w:r>
        <w:rPr>
          <w:spacing w:val="-3"/>
          <w:sz w:val="24"/>
        </w:rPr>
        <w:t> </w:t>
      </w:r>
      <w:r>
        <w:rPr>
          <w:sz w:val="24"/>
        </w:rPr>
        <w:t>energía?</w:t>
      </w:r>
    </w:p>
    <w:p>
      <w:pPr>
        <w:pStyle w:val="BodyText"/>
        <w:rPr>
          <w:sz w:val="26"/>
        </w:rPr>
      </w:pPr>
    </w:p>
    <w:p>
      <w:pPr>
        <w:pStyle w:val="BodyText"/>
        <w:spacing w:before="9"/>
        <w:rPr>
          <w:sz w:val="25"/>
        </w:rPr>
      </w:pPr>
    </w:p>
    <w:p>
      <w:pPr>
        <w:pStyle w:val="ListParagraph"/>
        <w:numPr>
          <w:ilvl w:val="0"/>
          <w:numId w:val="9"/>
        </w:numPr>
        <w:tabs>
          <w:tab w:pos="1282" w:val="left" w:leader="none"/>
        </w:tabs>
        <w:spacing w:line="360" w:lineRule="auto" w:before="1" w:after="0"/>
        <w:ind w:left="1281" w:right="950" w:hanging="360"/>
        <w:jc w:val="both"/>
        <w:rPr>
          <w:sz w:val="24"/>
        </w:rPr>
      </w:pPr>
      <w:r>
        <w:rPr>
          <w:sz w:val="24"/>
        </w:rPr>
        <w:t>¿Cuáles es el efecto de los tratamientos térmicos efectuados sobre la matriz</w:t>
      </w:r>
      <w:r>
        <w:rPr>
          <w:spacing w:val="-24"/>
          <w:sz w:val="24"/>
        </w:rPr>
        <w:t> </w:t>
      </w:r>
      <w:r>
        <w:rPr>
          <w:sz w:val="24"/>
        </w:rPr>
        <w:t>de</w:t>
      </w:r>
      <w:r>
        <w:rPr>
          <w:spacing w:val="-16"/>
          <w:sz w:val="24"/>
        </w:rPr>
        <w:t> </w:t>
      </w:r>
      <w:r>
        <w:rPr>
          <w:sz w:val="24"/>
        </w:rPr>
        <w:t>aluminio</w:t>
      </w:r>
      <w:r>
        <w:rPr>
          <w:spacing w:val="-16"/>
          <w:sz w:val="24"/>
        </w:rPr>
        <w:t> </w:t>
      </w:r>
      <w:r>
        <w:rPr>
          <w:sz w:val="24"/>
        </w:rPr>
        <w:t>en</w:t>
      </w:r>
      <w:r>
        <w:rPr>
          <w:spacing w:val="-20"/>
          <w:sz w:val="24"/>
        </w:rPr>
        <w:t> </w:t>
      </w:r>
      <w:r>
        <w:rPr>
          <w:sz w:val="24"/>
        </w:rPr>
        <w:t>el</w:t>
      </w:r>
      <w:r>
        <w:rPr>
          <w:spacing w:val="-18"/>
          <w:sz w:val="24"/>
        </w:rPr>
        <w:t> </w:t>
      </w:r>
      <w:r>
        <w:rPr>
          <w:sz w:val="24"/>
        </w:rPr>
        <w:t>desempeño</w:t>
      </w:r>
      <w:r>
        <w:rPr>
          <w:spacing w:val="-18"/>
          <w:sz w:val="24"/>
        </w:rPr>
        <w:t> </w:t>
      </w:r>
      <w:r>
        <w:rPr>
          <w:sz w:val="24"/>
        </w:rPr>
        <w:t>de</w:t>
      </w:r>
      <w:r>
        <w:rPr>
          <w:spacing w:val="-15"/>
          <w:sz w:val="24"/>
        </w:rPr>
        <w:t> </w:t>
      </w:r>
      <w:r>
        <w:rPr>
          <w:sz w:val="24"/>
        </w:rPr>
        <w:t>estas</w:t>
      </w:r>
      <w:r>
        <w:rPr>
          <w:spacing w:val="-20"/>
          <w:sz w:val="24"/>
        </w:rPr>
        <w:t> </w:t>
      </w:r>
      <w:r>
        <w:rPr>
          <w:sz w:val="24"/>
        </w:rPr>
        <w:t>espumas</w:t>
      </w:r>
      <w:r>
        <w:rPr>
          <w:spacing w:val="-22"/>
          <w:sz w:val="24"/>
        </w:rPr>
        <w:t> </w:t>
      </w:r>
      <w:r>
        <w:rPr>
          <w:sz w:val="24"/>
        </w:rPr>
        <w:t>sintácticas</w:t>
      </w:r>
      <w:r>
        <w:rPr>
          <w:spacing w:val="-21"/>
          <w:sz w:val="24"/>
        </w:rPr>
        <w:t> </w:t>
      </w:r>
      <w:r>
        <w:rPr>
          <w:sz w:val="24"/>
        </w:rPr>
        <w:t>como materiales con una elevada capacidad de absorción de</w:t>
      </w:r>
      <w:r>
        <w:rPr>
          <w:spacing w:val="-24"/>
          <w:sz w:val="24"/>
        </w:rPr>
        <w:t> </w:t>
      </w:r>
      <w:r>
        <w:rPr>
          <w:sz w:val="24"/>
        </w:rPr>
        <w:t>energía?</w:t>
      </w:r>
    </w:p>
    <w:p>
      <w:pPr>
        <w:pStyle w:val="BodyText"/>
        <w:rPr>
          <w:sz w:val="26"/>
        </w:rPr>
      </w:pPr>
    </w:p>
    <w:p>
      <w:pPr>
        <w:pStyle w:val="BodyText"/>
        <w:spacing w:before="221"/>
        <w:ind w:left="1115"/>
      </w:pPr>
      <w:r>
        <w:rPr/>
        <w:t>La realización de esta investigación ha hecho posible contar con las</w:t>
      </w:r>
    </w:p>
    <w:p>
      <w:pPr>
        <w:spacing w:after="0"/>
        <w:sectPr>
          <w:pgSz w:w="12240" w:h="15840"/>
          <w:pgMar w:header="0" w:footer="1869" w:top="1500" w:bottom="2060" w:left="1520" w:right="940"/>
        </w:sectPr>
      </w:pPr>
    </w:p>
    <w:p>
      <w:pPr>
        <w:pStyle w:val="BodyText"/>
        <w:spacing w:line="360" w:lineRule="auto" w:before="79"/>
        <w:ind w:left="755" w:right="755"/>
        <w:jc w:val="both"/>
      </w:pPr>
      <w:r>
        <w:rPr/>
        <w:t>herramientas experimentales y analíticas que permitan sintetizar experimentalmente espumas sintácticas con una elevada capacidad de absorción de energía.</w:t>
      </w:r>
    </w:p>
    <w:p>
      <w:pPr>
        <w:pStyle w:val="BodyText"/>
        <w:rPr>
          <w:sz w:val="26"/>
        </w:rPr>
      </w:pPr>
    </w:p>
    <w:p>
      <w:pPr>
        <w:pStyle w:val="BodyText"/>
        <w:spacing w:before="9"/>
        <w:rPr>
          <w:sz w:val="37"/>
        </w:rPr>
      </w:pPr>
    </w:p>
    <w:p>
      <w:pPr>
        <w:pStyle w:val="BodyText"/>
        <w:spacing w:line="360" w:lineRule="auto"/>
        <w:ind w:left="755" w:right="754" w:firstLine="360"/>
        <w:jc w:val="both"/>
      </w:pPr>
      <w:r>
        <w:rPr/>
        <w:t>Asimismo, se cuenta hoy con la experticia necesaria para caracterizar y evaluar el desempeño de este tipo de materiales; lo cual permitirá iniciar estudios experimentales para la obtención de materiales compuestos utilizando materiales propios de la zona de influencia de la Universidad Autónoma de Ica.</w:t>
      </w:r>
    </w:p>
    <w:p>
      <w:pPr>
        <w:pStyle w:val="BodyText"/>
        <w:rPr>
          <w:sz w:val="26"/>
        </w:rPr>
      </w:pPr>
    </w:p>
    <w:p>
      <w:pPr>
        <w:pStyle w:val="BodyText"/>
        <w:spacing w:before="6"/>
        <w:rPr>
          <w:sz w:val="22"/>
        </w:rPr>
      </w:pPr>
    </w:p>
    <w:p>
      <w:pPr>
        <w:pStyle w:val="Heading2"/>
        <w:numPr>
          <w:ilvl w:val="1"/>
          <w:numId w:val="7"/>
        </w:numPr>
        <w:tabs>
          <w:tab w:pos="2242" w:val="left" w:leader="none"/>
        </w:tabs>
        <w:spacing w:line="240" w:lineRule="auto" w:before="1" w:after="0"/>
        <w:ind w:left="2241" w:right="0" w:hanging="407"/>
        <w:jc w:val="left"/>
      </w:pPr>
      <w:bookmarkStart w:name="_bookmark2" w:id="9"/>
      <w:bookmarkEnd w:id="9"/>
      <w:r>
        <w:rPr>
          <w:b w:val="0"/>
        </w:rPr>
      </w:r>
      <w:bookmarkStart w:name="_bookmark2" w:id="10"/>
      <w:bookmarkEnd w:id="10"/>
      <w:r>
        <w:rPr/>
        <w:t>Impo</w:t>
      </w:r>
      <w:r>
        <w:rPr/>
        <w:t>rtancia</w:t>
      </w:r>
    </w:p>
    <w:p>
      <w:pPr>
        <w:pStyle w:val="BodyText"/>
        <w:rPr>
          <w:b/>
          <w:sz w:val="26"/>
        </w:rPr>
      </w:pPr>
    </w:p>
    <w:p>
      <w:pPr>
        <w:pStyle w:val="BodyText"/>
        <w:rPr>
          <w:b/>
          <w:sz w:val="26"/>
        </w:rPr>
      </w:pPr>
    </w:p>
    <w:p>
      <w:pPr>
        <w:pStyle w:val="BodyText"/>
        <w:spacing w:before="4"/>
        <w:rPr>
          <w:b/>
          <w:sz w:val="20"/>
        </w:rPr>
      </w:pPr>
    </w:p>
    <w:p>
      <w:pPr>
        <w:pStyle w:val="BodyText"/>
        <w:spacing w:line="360" w:lineRule="auto" w:before="1"/>
        <w:ind w:left="755" w:right="750" w:firstLine="283"/>
        <w:jc w:val="both"/>
      </w:pPr>
      <w:r>
        <w:rPr/>
        <w:t>Tal como refiere Gupta N. [1], las espumas metálicas descritas en el párrafo final del acápite 1.1 pueden ser clasificadas como:</w:t>
      </w:r>
    </w:p>
    <w:p>
      <w:pPr>
        <w:pStyle w:val="BodyText"/>
        <w:rPr>
          <w:sz w:val="26"/>
        </w:rPr>
      </w:pPr>
    </w:p>
    <w:p>
      <w:pPr>
        <w:pStyle w:val="BodyText"/>
        <w:spacing w:before="9"/>
        <w:rPr>
          <w:sz w:val="25"/>
        </w:rPr>
      </w:pPr>
    </w:p>
    <w:p>
      <w:pPr>
        <w:pStyle w:val="ListParagraph"/>
        <w:numPr>
          <w:ilvl w:val="1"/>
          <w:numId w:val="9"/>
        </w:numPr>
        <w:tabs>
          <w:tab w:pos="1399" w:val="left" w:leader="none"/>
        </w:tabs>
        <w:spacing w:line="357" w:lineRule="auto" w:before="0" w:after="0"/>
        <w:ind w:left="1398" w:right="752" w:hanging="360"/>
        <w:jc w:val="both"/>
        <w:rPr>
          <w:sz w:val="24"/>
        </w:rPr>
      </w:pPr>
      <w:r>
        <w:rPr>
          <w:sz w:val="24"/>
        </w:rPr>
        <w:t>Espumas metálicas de celdas (poros) abiertas, en donde los poros están interconectados de forma que permiten el flujo de aire o cualquier fluido a través de la estructura porosa, este tipo de microestructura ha limitado sus aplicaciones como elementos de absorción de energía debido a su baja resistencia mecánica y tenacidad.</w:t>
      </w:r>
    </w:p>
    <w:p>
      <w:pPr>
        <w:pStyle w:val="BodyText"/>
        <w:rPr>
          <w:sz w:val="26"/>
        </w:rPr>
      </w:pPr>
    </w:p>
    <w:p>
      <w:pPr>
        <w:pStyle w:val="BodyText"/>
        <w:spacing w:before="6"/>
        <w:rPr>
          <w:sz w:val="26"/>
        </w:rPr>
      </w:pPr>
    </w:p>
    <w:p>
      <w:pPr>
        <w:pStyle w:val="ListParagraph"/>
        <w:numPr>
          <w:ilvl w:val="1"/>
          <w:numId w:val="9"/>
        </w:numPr>
        <w:tabs>
          <w:tab w:pos="1399" w:val="left" w:leader="none"/>
        </w:tabs>
        <w:spacing w:line="360" w:lineRule="auto" w:before="1" w:after="0"/>
        <w:ind w:left="1398" w:right="749" w:hanging="360"/>
        <w:jc w:val="both"/>
        <w:rPr>
          <w:sz w:val="24"/>
        </w:rPr>
      </w:pPr>
      <w:r>
        <w:rPr>
          <w:sz w:val="24"/>
        </w:rPr>
        <w:t>Espumas metálicas de celdas (poros) cerradas, en este caso la microestructura no contiene poros de aire interconectados, </w:t>
      </w:r>
      <w:r>
        <w:rPr>
          <w:spacing w:val="-3"/>
          <w:sz w:val="24"/>
        </w:rPr>
        <w:t>ya </w:t>
      </w:r>
      <w:r>
        <w:rPr>
          <w:sz w:val="24"/>
        </w:rPr>
        <w:t>que cada poro se encuentra encapsulado en la matriz metálica. Su resistencia mecánica y tenacidad es mayor que las espumas de celdas abiertas, razón por la cual sus aplicaciones están restringidas a</w:t>
      </w:r>
      <w:r>
        <w:rPr>
          <w:spacing w:val="53"/>
          <w:sz w:val="24"/>
        </w:rPr>
        <w:t> </w:t>
      </w:r>
      <w:r>
        <w:rPr>
          <w:sz w:val="24"/>
        </w:rPr>
        <w:t>estructuras</w:t>
      </w:r>
    </w:p>
    <w:p>
      <w:pPr>
        <w:spacing w:after="0" w:line="360" w:lineRule="auto"/>
        <w:jc w:val="both"/>
        <w:rPr>
          <w:sz w:val="24"/>
        </w:rPr>
        <w:sectPr>
          <w:pgSz w:w="12240" w:h="15840"/>
          <w:pgMar w:header="0" w:footer="1869" w:top="1400" w:bottom="2060" w:left="1520" w:right="940"/>
        </w:sectPr>
      </w:pPr>
    </w:p>
    <w:p>
      <w:pPr>
        <w:pStyle w:val="BodyText"/>
        <w:spacing w:before="79"/>
        <w:ind w:left="1186" w:right="788"/>
        <w:jc w:val="center"/>
      </w:pPr>
      <w:r>
        <w:rPr/>
        <w:t>donde no se requiera resistencia mecánica y tenacidad elevadas.</w:t>
      </w:r>
    </w:p>
    <w:p>
      <w:pPr>
        <w:pStyle w:val="BodyText"/>
        <w:rPr>
          <w:sz w:val="26"/>
        </w:rPr>
      </w:pPr>
    </w:p>
    <w:p>
      <w:pPr>
        <w:pStyle w:val="BodyText"/>
        <w:spacing w:before="11"/>
        <w:rPr>
          <w:sz w:val="25"/>
        </w:rPr>
      </w:pPr>
    </w:p>
    <w:p>
      <w:pPr>
        <w:pStyle w:val="ListParagraph"/>
        <w:numPr>
          <w:ilvl w:val="1"/>
          <w:numId w:val="9"/>
        </w:numPr>
        <w:tabs>
          <w:tab w:pos="1399" w:val="left" w:leader="none"/>
        </w:tabs>
        <w:spacing w:line="360" w:lineRule="auto" w:before="0" w:after="0"/>
        <w:ind w:left="1398" w:right="750" w:hanging="360"/>
        <w:jc w:val="both"/>
        <w:rPr>
          <w:sz w:val="24"/>
        </w:rPr>
      </w:pPr>
      <w:r>
        <w:rPr>
          <w:sz w:val="24"/>
        </w:rPr>
        <w:t>Espumas metálicas compuestas reforzadas con partículas huecas, conocidas también como espumas sintácticas en matriz metálica. En este caso los poros son incorporados en la matriz metálica mediante la adición de partículas huecas (microesferas). Con este tipo de espumas existe un mayor control sobre la cantidad y morfología de los poros encapsulados en la matriz metálica. El interés en este tipo de espumas se ha incrementado significativamente debido a varias razones, entre ellas:</w:t>
      </w:r>
    </w:p>
    <w:p>
      <w:pPr>
        <w:pStyle w:val="BodyText"/>
        <w:rPr>
          <w:sz w:val="26"/>
        </w:rPr>
      </w:pPr>
    </w:p>
    <w:p>
      <w:pPr>
        <w:pStyle w:val="BodyText"/>
        <w:spacing w:before="10"/>
        <w:rPr>
          <w:sz w:val="25"/>
        </w:rPr>
      </w:pPr>
    </w:p>
    <w:p>
      <w:pPr>
        <w:pStyle w:val="ListParagraph"/>
        <w:numPr>
          <w:ilvl w:val="2"/>
          <w:numId w:val="9"/>
        </w:numPr>
        <w:tabs>
          <w:tab w:pos="1759" w:val="left" w:leader="none"/>
        </w:tabs>
        <w:spacing w:line="355" w:lineRule="auto" w:before="0" w:after="0"/>
        <w:ind w:left="1758" w:right="750" w:hanging="360"/>
        <w:jc w:val="both"/>
        <w:rPr>
          <w:sz w:val="24"/>
        </w:rPr>
      </w:pPr>
      <w:r>
        <w:rPr>
          <w:sz w:val="24"/>
        </w:rPr>
        <w:t>Su densidad y propiedades mecánicas pueden ser modificadas mediante una adecuada selección de la matriz, el tipo de microesfera (material y espesor de pared) así como la fracción volumétrica de las</w:t>
      </w:r>
      <w:r>
        <w:rPr>
          <w:spacing w:val="-4"/>
          <w:sz w:val="24"/>
        </w:rPr>
        <w:t> </w:t>
      </w:r>
      <w:r>
        <w:rPr>
          <w:sz w:val="24"/>
        </w:rPr>
        <w:t>esferas.</w:t>
      </w:r>
    </w:p>
    <w:p>
      <w:pPr>
        <w:pStyle w:val="BodyText"/>
        <w:rPr>
          <w:sz w:val="26"/>
        </w:rPr>
      </w:pPr>
    </w:p>
    <w:p>
      <w:pPr>
        <w:pStyle w:val="BodyText"/>
        <w:spacing w:before="3"/>
        <w:rPr>
          <w:sz w:val="26"/>
        </w:rPr>
      </w:pPr>
    </w:p>
    <w:p>
      <w:pPr>
        <w:pStyle w:val="ListParagraph"/>
        <w:numPr>
          <w:ilvl w:val="2"/>
          <w:numId w:val="9"/>
        </w:numPr>
        <w:tabs>
          <w:tab w:pos="1759" w:val="left" w:leader="none"/>
        </w:tabs>
        <w:spacing w:line="348" w:lineRule="auto" w:before="0" w:after="0"/>
        <w:ind w:left="1758" w:right="755" w:hanging="360"/>
        <w:jc w:val="both"/>
        <w:rPr>
          <w:sz w:val="24"/>
        </w:rPr>
      </w:pPr>
      <w:r>
        <w:rPr>
          <w:sz w:val="24"/>
        </w:rPr>
        <w:t>Su capacidad de absorción de energía, amortiguación acústica, propiedades eléctricas y magnéticas pueden ser</w:t>
      </w:r>
      <w:r>
        <w:rPr>
          <w:spacing w:val="-23"/>
          <w:sz w:val="24"/>
        </w:rPr>
        <w:t> </w:t>
      </w:r>
      <w:r>
        <w:rPr>
          <w:sz w:val="24"/>
        </w:rPr>
        <w:t>modificadas.</w:t>
      </w:r>
    </w:p>
    <w:p>
      <w:pPr>
        <w:pStyle w:val="BodyText"/>
        <w:rPr>
          <w:sz w:val="26"/>
        </w:rPr>
      </w:pPr>
    </w:p>
    <w:p>
      <w:pPr>
        <w:pStyle w:val="BodyText"/>
        <w:spacing w:before="5"/>
        <w:rPr>
          <w:sz w:val="20"/>
        </w:rPr>
      </w:pPr>
    </w:p>
    <w:p>
      <w:pPr>
        <w:pStyle w:val="ListParagraph"/>
        <w:numPr>
          <w:ilvl w:val="2"/>
          <w:numId w:val="9"/>
        </w:numPr>
        <w:tabs>
          <w:tab w:pos="1759" w:val="left" w:leader="none"/>
        </w:tabs>
        <w:spacing w:line="350" w:lineRule="auto" w:before="0" w:after="0"/>
        <w:ind w:left="1758" w:right="760" w:hanging="360"/>
        <w:jc w:val="both"/>
        <w:rPr>
          <w:sz w:val="24"/>
        </w:rPr>
      </w:pPr>
      <w:r>
        <w:rPr>
          <w:sz w:val="24"/>
        </w:rPr>
        <w:t>El tratamiento térmico de este tipo de espumas permite un amplio rango de propiedades para la misma</w:t>
      </w:r>
      <w:r>
        <w:rPr>
          <w:spacing w:val="-5"/>
          <w:sz w:val="24"/>
        </w:rPr>
        <w:t> </w:t>
      </w:r>
      <w:r>
        <w:rPr>
          <w:sz w:val="24"/>
        </w:rPr>
        <w:t>composición.</w:t>
      </w:r>
    </w:p>
    <w:p>
      <w:pPr>
        <w:pStyle w:val="BodyText"/>
        <w:rPr>
          <w:sz w:val="26"/>
        </w:rPr>
      </w:pPr>
    </w:p>
    <w:p>
      <w:pPr>
        <w:pStyle w:val="BodyText"/>
        <w:spacing w:before="4"/>
        <w:rPr>
          <w:sz w:val="25"/>
        </w:rPr>
      </w:pPr>
    </w:p>
    <w:p>
      <w:pPr>
        <w:pStyle w:val="ListParagraph"/>
        <w:numPr>
          <w:ilvl w:val="2"/>
          <w:numId w:val="9"/>
        </w:numPr>
        <w:tabs>
          <w:tab w:pos="1759" w:val="left" w:leader="none"/>
        </w:tabs>
        <w:spacing w:line="355" w:lineRule="auto" w:before="0" w:after="0"/>
        <w:ind w:left="1758" w:right="755" w:hanging="360"/>
        <w:jc w:val="both"/>
        <w:rPr>
          <w:sz w:val="24"/>
        </w:rPr>
      </w:pPr>
      <w:r>
        <w:rPr>
          <w:sz w:val="24"/>
        </w:rPr>
        <w:t>Permiten incrementar su porosidad mediante la creación de materiales compuestos híbridos (matriz, microesferas y un tercer tipo de</w:t>
      </w:r>
      <w:r>
        <w:rPr>
          <w:spacing w:val="-3"/>
          <w:sz w:val="24"/>
        </w:rPr>
        <w:t> </w:t>
      </w:r>
      <w:r>
        <w:rPr>
          <w:sz w:val="24"/>
        </w:rPr>
        <w:t>partículas).</w:t>
      </w:r>
    </w:p>
    <w:p>
      <w:pPr>
        <w:pStyle w:val="BodyText"/>
        <w:rPr>
          <w:sz w:val="26"/>
        </w:rPr>
      </w:pPr>
    </w:p>
    <w:p>
      <w:pPr>
        <w:pStyle w:val="ListParagraph"/>
        <w:numPr>
          <w:ilvl w:val="2"/>
          <w:numId w:val="9"/>
        </w:numPr>
        <w:tabs>
          <w:tab w:pos="1759" w:val="left" w:leader="none"/>
        </w:tabs>
        <w:spacing w:line="350" w:lineRule="auto" w:before="229" w:after="0"/>
        <w:ind w:left="1758" w:right="756" w:hanging="360"/>
        <w:jc w:val="both"/>
        <w:rPr>
          <w:sz w:val="24"/>
        </w:rPr>
      </w:pPr>
      <w:r>
        <w:rPr>
          <w:sz w:val="24"/>
        </w:rPr>
        <w:t>Permiten incrementar la resistencia de la matriz metálica mediante la incorporación de micro y nano</w:t>
      </w:r>
      <w:r>
        <w:rPr>
          <w:spacing w:val="-10"/>
          <w:sz w:val="24"/>
        </w:rPr>
        <w:t> </w:t>
      </w:r>
      <w:r>
        <w:rPr>
          <w:sz w:val="24"/>
        </w:rPr>
        <w:t>partículas.</w:t>
      </w:r>
    </w:p>
    <w:p>
      <w:pPr>
        <w:spacing w:after="0" w:line="350" w:lineRule="auto"/>
        <w:jc w:val="both"/>
        <w:rPr>
          <w:sz w:val="24"/>
        </w:rPr>
        <w:sectPr>
          <w:pgSz w:w="12240" w:h="15840"/>
          <w:pgMar w:header="0" w:footer="1869" w:top="1400" w:bottom="2060" w:left="1520" w:right="940"/>
        </w:sectPr>
      </w:pPr>
    </w:p>
    <w:p>
      <w:pPr>
        <w:pStyle w:val="BodyText"/>
        <w:spacing w:before="5"/>
        <w:rPr>
          <w:sz w:val="21"/>
        </w:rPr>
      </w:pPr>
    </w:p>
    <w:p>
      <w:pPr>
        <w:pStyle w:val="BodyText"/>
        <w:spacing w:line="360" w:lineRule="auto" w:before="93"/>
        <w:ind w:left="755" w:right="745" w:firstLine="360"/>
        <w:jc w:val="both"/>
      </w:pPr>
      <w:r>
        <w:rPr/>
        <w:t>Las aplicaciones actuales y potenciales de las espumas sintácticas en matriz metálica nos dan una idea clara de la importancia de este tipo de materiales en el mundo actual. Los principales sectores industriales involucrados son el transporte terrestre, el transporte aeroespacial y las aplicaciones en los sectores de defensa.</w:t>
      </w:r>
    </w:p>
    <w:p>
      <w:pPr>
        <w:pStyle w:val="BodyText"/>
        <w:rPr>
          <w:sz w:val="26"/>
        </w:rPr>
      </w:pPr>
    </w:p>
    <w:p>
      <w:pPr>
        <w:pStyle w:val="BodyText"/>
        <w:spacing w:before="8"/>
        <w:rPr>
          <w:sz w:val="37"/>
        </w:rPr>
      </w:pPr>
    </w:p>
    <w:p>
      <w:pPr>
        <w:pStyle w:val="BodyText"/>
        <w:spacing w:line="360" w:lineRule="auto"/>
        <w:ind w:left="755" w:right="747" w:firstLine="360"/>
        <w:jc w:val="both"/>
      </w:pPr>
      <w:r>
        <w:rPr/>
        <w:t>Además de estos sectores, cabe mencionar la importancia de este  tipo de materiales con baja densidad y elevada tenacidad para aplicaciones biomédicas, tales como los implantes biocompatibles con las estructuras óseas; así como en dispositivos electrónicos, especialmente en aplicaciones para blindaje</w:t>
      </w:r>
      <w:r>
        <w:rPr>
          <w:spacing w:val="-1"/>
        </w:rPr>
        <w:t> </w:t>
      </w:r>
      <w:r>
        <w:rPr/>
        <w:t>electromagnético.</w:t>
      </w:r>
    </w:p>
    <w:p>
      <w:pPr>
        <w:spacing w:after="0" w:line="360" w:lineRule="auto"/>
        <w:jc w:val="both"/>
        <w:sectPr>
          <w:pgSz w:w="12240" w:h="15840"/>
          <w:pgMar w:header="0" w:footer="1869" w:top="1500" w:bottom="2060" w:left="1520" w:right="940"/>
        </w:sectPr>
      </w:pPr>
    </w:p>
    <w:p>
      <w:pPr>
        <w:pStyle w:val="BodyText"/>
        <w:rPr>
          <w:sz w:val="16"/>
        </w:rPr>
      </w:pPr>
    </w:p>
    <w:p>
      <w:pPr>
        <w:pStyle w:val="Heading2"/>
        <w:numPr>
          <w:ilvl w:val="0"/>
          <w:numId w:val="6"/>
        </w:numPr>
        <w:tabs>
          <w:tab w:pos="1835" w:val="left" w:leader="none"/>
          <w:tab w:pos="1836" w:val="left" w:leader="none"/>
        </w:tabs>
        <w:spacing w:line="240" w:lineRule="auto" w:before="93" w:after="0"/>
        <w:ind w:left="1835" w:right="0" w:hanging="721"/>
        <w:jc w:val="left"/>
      </w:pPr>
      <w:r>
        <w:rPr/>
        <w:t>MARCO TEORICO DE LA</w:t>
      </w:r>
      <w:r>
        <w:rPr>
          <w:spacing w:val="-12"/>
        </w:rPr>
        <w:t> </w:t>
      </w:r>
      <w:r>
        <w:rPr/>
        <w:t>INVESTIGACION</w:t>
      </w:r>
    </w:p>
    <w:p>
      <w:pPr>
        <w:pStyle w:val="BodyText"/>
        <w:rPr>
          <w:b/>
          <w:sz w:val="26"/>
        </w:rPr>
      </w:pPr>
    </w:p>
    <w:p>
      <w:pPr>
        <w:pStyle w:val="BodyText"/>
        <w:rPr>
          <w:b/>
          <w:sz w:val="26"/>
        </w:rPr>
      </w:pPr>
    </w:p>
    <w:p>
      <w:pPr>
        <w:pStyle w:val="ListParagraph"/>
        <w:numPr>
          <w:ilvl w:val="1"/>
          <w:numId w:val="10"/>
        </w:numPr>
        <w:tabs>
          <w:tab w:pos="2242" w:val="left" w:leader="none"/>
        </w:tabs>
        <w:spacing w:line="240" w:lineRule="auto" w:before="232" w:after="0"/>
        <w:ind w:left="2241" w:right="0" w:hanging="407"/>
        <w:jc w:val="left"/>
        <w:rPr>
          <w:b/>
          <w:sz w:val="24"/>
        </w:rPr>
      </w:pPr>
      <w:r>
        <w:rPr>
          <w:b/>
          <w:sz w:val="24"/>
        </w:rPr>
        <w:t>Antecedentes</w:t>
      </w:r>
    </w:p>
    <w:p>
      <w:pPr>
        <w:pStyle w:val="BodyText"/>
        <w:rPr>
          <w:b/>
          <w:sz w:val="26"/>
        </w:rPr>
      </w:pPr>
    </w:p>
    <w:p>
      <w:pPr>
        <w:pStyle w:val="BodyText"/>
        <w:rPr>
          <w:b/>
          <w:sz w:val="26"/>
        </w:rPr>
      </w:pPr>
    </w:p>
    <w:p>
      <w:pPr>
        <w:pStyle w:val="BodyText"/>
        <w:spacing w:before="5"/>
        <w:rPr>
          <w:b/>
          <w:sz w:val="20"/>
        </w:rPr>
      </w:pPr>
    </w:p>
    <w:p>
      <w:pPr>
        <w:pStyle w:val="BodyText"/>
        <w:spacing w:line="360" w:lineRule="auto"/>
        <w:ind w:left="755" w:right="747" w:firstLine="720"/>
        <w:jc w:val="both"/>
      </w:pPr>
      <w:r>
        <w:rPr/>
        <w:t>Las</w:t>
      </w:r>
      <w:r>
        <w:rPr>
          <w:spacing w:val="-13"/>
        </w:rPr>
        <w:t> </w:t>
      </w:r>
      <w:r>
        <w:rPr/>
        <w:t>investigaciones</w:t>
      </w:r>
      <w:r>
        <w:rPr>
          <w:spacing w:val="-16"/>
        </w:rPr>
        <w:t> </w:t>
      </w:r>
      <w:r>
        <w:rPr/>
        <w:t>realizadas</w:t>
      </w:r>
      <w:r>
        <w:rPr>
          <w:spacing w:val="-13"/>
        </w:rPr>
        <w:t> </w:t>
      </w:r>
      <w:r>
        <w:rPr/>
        <w:t>para</w:t>
      </w:r>
      <w:r>
        <w:rPr>
          <w:spacing w:val="-15"/>
        </w:rPr>
        <w:t> </w:t>
      </w:r>
      <w:r>
        <w:rPr/>
        <w:t>el</w:t>
      </w:r>
      <w:r>
        <w:rPr>
          <w:spacing w:val="-15"/>
        </w:rPr>
        <w:t> </w:t>
      </w:r>
      <w:r>
        <w:rPr/>
        <w:t>desarrollo</w:t>
      </w:r>
      <w:r>
        <w:rPr>
          <w:spacing w:val="-12"/>
        </w:rPr>
        <w:t> </w:t>
      </w:r>
      <w:r>
        <w:rPr/>
        <w:t>de</w:t>
      </w:r>
      <w:r>
        <w:rPr>
          <w:spacing w:val="-8"/>
        </w:rPr>
        <w:t> </w:t>
      </w:r>
      <w:r>
        <w:rPr/>
        <w:t>espumas</w:t>
      </w:r>
      <w:r>
        <w:rPr>
          <w:spacing w:val="-19"/>
        </w:rPr>
        <w:t> </w:t>
      </w:r>
      <w:r>
        <w:rPr/>
        <w:t>metálicas con miras a reemplazar diversos elementos metálicos industriales con las ventajas de obtener materiales más ligeros y con una elevada capacidad de absorción de energía se iniciaron en la década de los años </w:t>
      </w:r>
      <w:r>
        <w:rPr>
          <w:spacing w:val="10"/>
        </w:rPr>
        <w:t>noventa </w:t>
      </w:r>
      <w:r>
        <w:rPr/>
        <w:t>[2, 8-12, 52].</w:t>
      </w:r>
    </w:p>
    <w:p>
      <w:pPr>
        <w:pStyle w:val="BodyText"/>
        <w:rPr>
          <w:sz w:val="26"/>
        </w:rPr>
      </w:pPr>
    </w:p>
    <w:p>
      <w:pPr>
        <w:pStyle w:val="BodyText"/>
        <w:spacing w:before="8"/>
        <w:rPr>
          <w:sz w:val="25"/>
        </w:rPr>
      </w:pPr>
    </w:p>
    <w:p>
      <w:pPr>
        <w:pStyle w:val="BodyText"/>
        <w:spacing w:line="360" w:lineRule="auto"/>
        <w:ind w:left="755" w:right="747" w:firstLine="720"/>
        <w:jc w:val="both"/>
      </w:pPr>
      <w:r>
        <w:rPr/>
        <w:t>Los</w:t>
      </w:r>
      <w:r>
        <w:rPr>
          <w:spacing w:val="-9"/>
        </w:rPr>
        <w:t> </w:t>
      </w:r>
      <w:r>
        <w:rPr/>
        <w:t>resultados</w:t>
      </w:r>
      <w:r>
        <w:rPr>
          <w:spacing w:val="-10"/>
        </w:rPr>
        <w:t> </w:t>
      </w:r>
      <w:r>
        <w:rPr/>
        <w:t>obtenidos</w:t>
      </w:r>
      <w:r>
        <w:rPr>
          <w:spacing w:val="-8"/>
        </w:rPr>
        <w:t> </w:t>
      </w:r>
      <w:r>
        <w:rPr/>
        <w:t>inicialmente</w:t>
      </w:r>
      <w:r>
        <w:rPr>
          <w:spacing w:val="-7"/>
        </w:rPr>
        <w:t> </w:t>
      </w:r>
      <w:r>
        <w:rPr/>
        <w:t>y</w:t>
      </w:r>
      <w:r>
        <w:rPr>
          <w:spacing w:val="-13"/>
        </w:rPr>
        <w:t> </w:t>
      </w:r>
      <w:r>
        <w:rPr/>
        <w:t>las</w:t>
      </w:r>
      <w:r>
        <w:rPr>
          <w:spacing w:val="-7"/>
        </w:rPr>
        <w:t> </w:t>
      </w:r>
      <w:r>
        <w:rPr/>
        <w:t>perspectivas</w:t>
      </w:r>
      <w:r>
        <w:rPr>
          <w:spacing w:val="-8"/>
        </w:rPr>
        <w:t> </w:t>
      </w:r>
      <w:r>
        <w:rPr/>
        <w:t>de</w:t>
      </w:r>
      <w:r>
        <w:rPr>
          <w:spacing w:val="-6"/>
        </w:rPr>
        <w:t> </w:t>
      </w:r>
      <w:r>
        <w:rPr/>
        <w:t>uso</w:t>
      </w:r>
      <w:r>
        <w:rPr>
          <w:spacing w:val="-14"/>
        </w:rPr>
        <w:t> </w:t>
      </w:r>
      <w:r>
        <w:rPr/>
        <w:t>de</w:t>
      </w:r>
      <w:r>
        <w:rPr>
          <w:spacing w:val="-9"/>
        </w:rPr>
        <w:t> </w:t>
      </w:r>
      <w:r>
        <w:rPr/>
        <w:t>este tipo de materiales impulsaron dramáticamente las investigaciones en este campo a partir del año 2003, tal como se puede apreciar en la Figura 1 [39]. En el caso de las espumas sintácticas en matriz metálica, el enfoque está centrado en la obtención de materiales compuestos con una mayor y más uniforme capacidad de absorción de </w:t>
      </w:r>
      <w:r>
        <w:rPr>
          <w:spacing w:val="-3"/>
        </w:rPr>
        <w:t>energía </w:t>
      </w:r>
      <w:r>
        <w:rPr/>
        <w:t>que aquellas obtenidas mediante el uso de espumas metálicas convencionales fabricadas mediante burbujeo de la masa metálica fundida u otras</w:t>
      </w:r>
      <w:r>
        <w:rPr>
          <w:spacing w:val="-22"/>
        </w:rPr>
        <w:t> </w:t>
      </w:r>
      <w:r>
        <w:rPr/>
        <w:t>técnicas.</w:t>
      </w:r>
    </w:p>
    <w:p>
      <w:pPr>
        <w:spacing w:after="0" w:line="360" w:lineRule="auto"/>
        <w:jc w:val="both"/>
        <w:sectPr>
          <w:footerReference w:type="default" r:id="rId7"/>
          <w:pgSz w:w="12240" w:h="15840"/>
          <w:pgMar w:footer="1293" w:header="0" w:top="1500" w:bottom="1480" w:left="1520" w:right="940"/>
          <w:pgNumType w:start="12"/>
        </w:sectPr>
      </w:pPr>
    </w:p>
    <w:p>
      <w:pPr>
        <w:pStyle w:val="BodyText"/>
        <w:ind w:left="2512"/>
        <w:rPr>
          <w:sz w:val="20"/>
        </w:rPr>
      </w:pPr>
      <w:r>
        <w:rPr>
          <w:sz w:val="20"/>
        </w:rPr>
        <w:drawing>
          <wp:inline distT="0" distB="0" distL="0" distR="0">
            <wp:extent cx="2996197" cy="2253615"/>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2996197" cy="225361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rPr>
          <w:sz w:val="26"/>
        </w:rPr>
      </w:pPr>
    </w:p>
    <w:p>
      <w:pPr>
        <w:spacing w:before="94"/>
        <w:ind w:left="0" w:right="30" w:firstLine="0"/>
        <w:jc w:val="center"/>
        <w:rPr>
          <w:b/>
          <w:sz w:val="18"/>
        </w:rPr>
      </w:pPr>
      <w:r>
        <w:rPr>
          <w:b/>
          <w:sz w:val="18"/>
        </w:rPr>
        <w:t>FIG. 1 Incremento en las publicaciones sobre espumas sintácticas y compuestas [39]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1"/>
        </w:rPr>
      </w:pPr>
    </w:p>
    <w:p>
      <w:pPr>
        <w:pStyle w:val="Heading2"/>
        <w:numPr>
          <w:ilvl w:val="1"/>
          <w:numId w:val="10"/>
        </w:numPr>
        <w:tabs>
          <w:tab w:pos="2242" w:val="left" w:leader="none"/>
        </w:tabs>
        <w:spacing w:line="240" w:lineRule="auto" w:before="0" w:after="0"/>
        <w:ind w:left="2241" w:right="0" w:hanging="407"/>
        <w:jc w:val="left"/>
      </w:pPr>
      <w:bookmarkStart w:name="_bookmark3" w:id="11"/>
      <w:bookmarkEnd w:id="11"/>
      <w:r>
        <w:rPr>
          <w:b w:val="0"/>
        </w:rPr>
      </w:r>
      <w:bookmarkStart w:name="_bookmark3" w:id="12"/>
      <w:bookmarkEnd w:id="12"/>
      <w:r>
        <w:rPr/>
        <w:t>B</w:t>
      </w:r>
      <w:r>
        <w:rPr/>
        <w:t>ases</w:t>
      </w:r>
      <w:r>
        <w:rPr>
          <w:spacing w:val="-2"/>
        </w:rPr>
        <w:t> </w:t>
      </w:r>
      <w:r>
        <w:rPr/>
        <w:t>Teóricas</w:t>
      </w:r>
    </w:p>
    <w:p>
      <w:pPr>
        <w:pStyle w:val="BodyText"/>
        <w:rPr>
          <w:b/>
          <w:sz w:val="26"/>
        </w:rPr>
      </w:pPr>
    </w:p>
    <w:p>
      <w:pPr>
        <w:pStyle w:val="BodyText"/>
        <w:rPr>
          <w:b/>
          <w:sz w:val="26"/>
        </w:rPr>
      </w:pPr>
    </w:p>
    <w:p>
      <w:pPr>
        <w:pStyle w:val="BodyText"/>
        <w:spacing w:before="5"/>
        <w:rPr>
          <w:b/>
          <w:sz w:val="20"/>
        </w:rPr>
      </w:pPr>
    </w:p>
    <w:p>
      <w:pPr>
        <w:pStyle w:val="BodyText"/>
        <w:spacing w:line="360" w:lineRule="auto"/>
        <w:ind w:left="755" w:right="749" w:firstLine="720"/>
        <w:jc w:val="both"/>
      </w:pPr>
      <w:r>
        <w:rPr/>
        <w:t>Una espuma sintáctica en matriz metálica eficaz debería ser capaz de transferir la carga mecánica aplicada de manera homogénea entre la matriz y las esferas de refuerzo. Por esta razón, un aspecto clave en el desempeño de las espumas sintácticas en matriz metálica es la adhesión en la interfaz entre la matriz y las esferas huecas [3]. Las condiciones que pueden afectar adversamente la adhesión en la interfaz</w:t>
      </w:r>
      <w:r>
        <w:rPr>
          <w:spacing w:val="-6"/>
        </w:rPr>
        <w:t> </w:t>
      </w:r>
      <w:r>
        <w:rPr/>
        <w:t>son:</w:t>
      </w:r>
    </w:p>
    <w:p>
      <w:pPr>
        <w:pStyle w:val="BodyText"/>
        <w:rPr>
          <w:sz w:val="26"/>
        </w:rPr>
      </w:pPr>
    </w:p>
    <w:p>
      <w:pPr>
        <w:pStyle w:val="BodyText"/>
        <w:spacing w:before="8"/>
        <w:rPr>
          <w:sz w:val="25"/>
        </w:rPr>
      </w:pPr>
    </w:p>
    <w:p>
      <w:pPr>
        <w:pStyle w:val="ListParagraph"/>
        <w:numPr>
          <w:ilvl w:val="0"/>
          <w:numId w:val="11"/>
        </w:numPr>
        <w:tabs>
          <w:tab w:pos="1535" w:val="left" w:leader="none"/>
          <w:tab w:pos="1536" w:val="left" w:leader="none"/>
        </w:tabs>
        <w:spacing w:line="240" w:lineRule="auto" w:before="0" w:after="0"/>
        <w:ind w:left="1535" w:right="0" w:hanging="361"/>
        <w:jc w:val="left"/>
        <w:rPr>
          <w:sz w:val="24"/>
        </w:rPr>
      </w:pPr>
      <w:r>
        <w:rPr>
          <w:sz w:val="24"/>
        </w:rPr>
        <w:t>La interacciones físicas y químicas en la interfaz</w:t>
      </w:r>
      <w:r>
        <w:rPr>
          <w:spacing w:val="-18"/>
          <w:sz w:val="24"/>
        </w:rPr>
        <w:t> </w:t>
      </w:r>
      <w:r>
        <w:rPr>
          <w:sz w:val="24"/>
        </w:rPr>
        <w:t>metal/esfera</w:t>
      </w:r>
    </w:p>
    <w:p>
      <w:pPr>
        <w:pStyle w:val="BodyText"/>
        <w:rPr>
          <w:sz w:val="28"/>
        </w:rPr>
      </w:pPr>
    </w:p>
    <w:p>
      <w:pPr>
        <w:pStyle w:val="BodyText"/>
        <w:spacing w:before="5"/>
      </w:pPr>
    </w:p>
    <w:p>
      <w:pPr>
        <w:pStyle w:val="ListParagraph"/>
        <w:numPr>
          <w:ilvl w:val="0"/>
          <w:numId w:val="11"/>
        </w:numPr>
        <w:tabs>
          <w:tab w:pos="1535" w:val="left" w:leader="none"/>
          <w:tab w:pos="1536" w:val="left" w:leader="none"/>
        </w:tabs>
        <w:spacing w:line="240" w:lineRule="auto" w:before="1" w:after="0"/>
        <w:ind w:left="1535" w:right="0" w:hanging="361"/>
        <w:jc w:val="left"/>
        <w:rPr>
          <w:sz w:val="24"/>
        </w:rPr>
      </w:pPr>
      <w:r>
        <w:rPr>
          <w:sz w:val="24"/>
        </w:rPr>
        <w:t>Los parámetros de procesamiento (temperatura, presión y</w:t>
      </w:r>
      <w:r>
        <w:rPr>
          <w:spacing w:val="-24"/>
          <w:sz w:val="24"/>
        </w:rPr>
        <w:t> </w:t>
      </w:r>
      <w:r>
        <w:rPr>
          <w:sz w:val="24"/>
        </w:rPr>
        <w:t>tiempo)</w:t>
      </w:r>
    </w:p>
    <w:p>
      <w:pPr>
        <w:spacing w:after="0" w:line="240" w:lineRule="auto"/>
        <w:jc w:val="left"/>
        <w:rPr>
          <w:sz w:val="24"/>
        </w:rPr>
        <w:sectPr>
          <w:pgSz w:w="12240" w:h="15840"/>
          <w:pgMar w:header="0" w:footer="1293" w:top="1480" w:bottom="1480" w:left="1520" w:right="940"/>
        </w:sectPr>
      </w:pPr>
    </w:p>
    <w:p>
      <w:pPr>
        <w:pStyle w:val="ListParagraph"/>
        <w:numPr>
          <w:ilvl w:val="0"/>
          <w:numId w:val="11"/>
        </w:numPr>
        <w:tabs>
          <w:tab w:pos="1535" w:val="left" w:leader="none"/>
          <w:tab w:pos="1536" w:val="left" w:leader="none"/>
        </w:tabs>
        <w:spacing w:line="240" w:lineRule="auto" w:before="77" w:after="0"/>
        <w:ind w:left="1535" w:right="0" w:hanging="361"/>
        <w:jc w:val="left"/>
        <w:rPr>
          <w:sz w:val="24"/>
        </w:rPr>
      </w:pPr>
      <w:r>
        <w:rPr>
          <w:sz w:val="24"/>
        </w:rPr>
        <w:t>La calidad de las esferas huecas (composición, tamaño y</w:t>
      </w:r>
      <w:r>
        <w:rPr>
          <w:spacing w:val="-21"/>
          <w:sz w:val="24"/>
        </w:rPr>
        <w:t> </w:t>
      </w:r>
      <w:r>
        <w:rPr>
          <w:sz w:val="24"/>
        </w:rPr>
        <w:t>distribución)</w:t>
      </w:r>
    </w:p>
    <w:p>
      <w:pPr>
        <w:pStyle w:val="BodyText"/>
        <w:rPr>
          <w:sz w:val="28"/>
        </w:rPr>
      </w:pPr>
    </w:p>
    <w:p>
      <w:pPr>
        <w:pStyle w:val="BodyText"/>
        <w:rPr>
          <w:sz w:val="28"/>
        </w:rPr>
      </w:pPr>
    </w:p>
    <w:p>
      <w:pPr>
        <w:pStyle w:val="BodyText"/>
        <w:spacing w:before="1"/>
        <w:rPr>
          <w:sz w:val="26"/>
        </w:rPr>
      </w:pPr>
    </w:p>
    <w:p>
      <w:pPr>
        <w:pStyle w:val="BodyText"/>
        <w:spacing w:line="357" w:lineRule="auto"/>
        <w:ind w:left="755" w:right="748" w:firstLine="360"/>
        <w:jc w:val="both"/>
      </w:pPr>
      <w:r>
        <w:rPr/>
        <w:t>La Figura 2 muestra la forma típica de una curva esfuerzo-deformación a la compresión cuasi-estática para las espumas sintácticas en matriz metálica [18]. Se puede apreciar tres zonas de deformación claramente definidas.</w:t>
      </w:r>
    </w:p>
    <w:p>
      <w:pPr>
        <w:pStyle w:val="BodyText"/>
        <w:rPr>
          <w:sz w:val="26"/>
        </w:rPr>
      </w:pPr>
    </w:p>
    <w:p>
      <w:pPr>
        <w:pStyle w:val="BodyText"/>
        <w:rPr>
          <w:sz w:val="37"/>
        </w:rPr>
      </w:pPr>
    </w:p>
    <w:p>
      <w:pPr>
        <w:pStyle w:val="BodyText"/>
        <w:spacing w:line="355" w:lineRule="auto"/>
        <w:ind w:left="755" w:right="747" w:firstLine="360"/>
        <w:jc w:val="both"/>
      </w:pPr>
      <w:r>
        <w:rPr/>
        <w:t>En primer lugar, una deformación elástica lineal representada por  la  zona I, donde el esfuerzo se incrementa linealmente con la deformación </w:t>
      </w:r>
      <w:r>
        <w:rPr>
          <w:position w:val="2"/>
        </w:rPr>
        <w:t>hasta </w:t>
      </w:r>
      <w:r>
        <w:rPr>
          <w:spacing w:val="-2"/>
          <w:position w:val="2"/>
        </w:rPr>
        <w:t>que </w:t>
      </w:r>
      <w:r>
        <w:rPr>
          <w:position w:val="2"/>
        </w:rPr>
        <w:t>se alcanza un máximo esfuerzo a la compresión (σ</w:t>
      </w:r>
      <w:r>
        <w:rPr>
          <w:sz w:val="16"/>
        </w:rPr>
        <w:t>0</w:t>
      </w:r>
      <w:r>
        <w:rPr>
          <w:position w:val="2"/>
        </w:rPr>
        <w:t>). La segunda </w:t>
      </w:r>
      <w:r>
        <w:rPr/>
        <w:t>zona (II) se inicia con una caída repentina de la presión seguida por una meseta extendida donde el esfuerzo se mantiene esencialmente constante hasta que se alcanza una deformación relativamente grande. Esta es la zona donde se desarrolla la absorción de energía  de  las  espumas  sintácticas  en  matriz metálica, debido a un colapso progresivo de las esferas huecas.  </w:t>
      </w:r>
      <w:r>
        <w:rPr>
          <w:position w:val="2"/>
        </w:rPr>
        <w:t>El autor diferencia dos sub zonas, II</w:t>
      </w:r>
      <w:r>
        <w:rPr>
          <w:sz w:val="16"/>
        </w:rPr>
        <w:t>1 </w:t>
      </w:r>
      <w:r>
        <w:rPr>
          <w:position w:val="2"/>
        </w:rPr>
        <w:t>donde se produce el colapso de las esferas huecas dispersas y II</w:t>
      </w:r>
      <w:r>
        <w:rPr>
          <w:sz w:val="16"/>
        </w:rPr>
        <w:t>2 </w:t>
      </w:r>
      <w:r>
        <w:rPr>
          <w:position w:val="2"/>
        </w:rPr>
        <w:t>donde </w:t>
      </w:r>
      <w:r>
        <w:rPr>
          <w:spacing w:val="-3"/>
          <w:position w:val="2"/>
        </w:rPr>
        <w:t>se </w:t>
      </w:r>
      <w:r>
        <w:rPr>
          <w:position w:val="2"/>
        </w:rPr>
        <w:t>desarrollan las bandas de </w:t>
      </w:r>
      <w:r>
        <w:rPr/>
        <w:t>densificación debido a la plasticidad localizada del material</w:t>
      </w:r>
      <w:r>
        <w:rPr>
          <w:spacing w:val="-28"/>
        </w:rPr>
        <w:t> </w:t>
      </w:r>
      <w:r>
        <w:rPr/>
        <w:t>compuesto.</w:t>
      </w:r>
    </w:p>
    <w:p>
      <w:pPr>
        <w:pStyle w:val="BodyText"/>
        <w:rPr>
          <w:sz w:val="26"/>
        </w:rPr>
      </w:pPr>
    </w:p>
    <w:p>
      <w:pPr>
        <w:pStyle w:val="BodyText"/>
        <w:rPr>
          <w:sz w:val="26"/>
        </w:rPr>
      </w:pPr>
    </w:p>
    <w:p>
      <w:pPr>
        <w:pStyle w:val="BodyText"/>
        <w:rPr>
          <w:sz w:val="26"/>
        </w:rPr>
      </w:pPr>
    </w:p>
    <w:p>
      <w:pPr>
        <w:pStyle w:val="BodyText"/>
        <w:spacing w:before="6"/>
        <w:rPr>
          <w:sz w:val="21"/>
        </w:rPr>
      </w:pPr>
    </w:p>
    <w:p>
      <w:pPr>
        <w:pStyle w:val="BodyText"/>
        <w:spacing w:line="350" w:lineRule="auto"/>
        <w:ind w:left="755" w:right="752" w:firstLine="427"/>
        <w:jc w:val="both"/>
      </w:pPr>
      <w:r>
        <w:rPr/>
        <w:t>Por último, la zona III representa la etapa de densificación, que comienza </w:t>
      </w:r>
      <w:r>
        <w:rPr>
          <w:position w:val="2"/>
        </w:rPr>
        <w:t>con la deformación de densificación (ε</w:t>
      </w:r>
      <w:r>
        <w:rPr>
          <w:sz w:val="16"/>
        </w:rPr>
        <w:t>D</w:t>
      </w:r>
      <w:r>
        <w:rPr>
          <w:position w:val="2"/>
        </w:rPr>
        <w:t>) y se caracteriza por un rápido </w:t>
      </w:r>
      <w:r>
        <w:rPr/>
        <w:t>incremento del esfuerzo para un diferencial de deformación dado.</w:t>
      </w:r>
    </w:p>
    <w:p>
      <w:pPr>
        <w:pStyle w:val="BodyText"/>
        <w:rPr>
          <w:sz w:val="26"/>
        </w:rPr>
      </w:pPr>
    </w:p>
    <w:p>
      <w:pPr>
        <w:pStyle w:val="BodyText"/>
        <w:spacing w:line="360" w:lineRule="auto" w:before="222"/>
        <w:ind w:left="755" w:right="748" w:firstLine="420"/>
        <w:jc w:val="both"/>
      </w:pPr>
      <w:r>
        <w:rPr/>
        <w:t>El comportamiento mecánico de las espumas sintácticas en matriz metálica es evaluado mediante el ensayo mecánico de compresión bajo condiciones cuasi estáticas, ligeramente modificado para este tipo de materiales porosos. Este tipo de ensayo es el reportado en la literatura como el principal criterio para evaluar el comportamiento mecánico de las espumas</w:t>
      </w:r>
    </w:p>
    <w:p>
      <w:pPr>
        <w:spacing w:after="0" w:line="360" w:lineRule="auto"/>
        <w:jc w:val="both"/>
        <w:sectPr>
          <w:pgSz w:w="12240" w:h="15840"/>
          <w:pgMar w:header="0" w:footer="1293" w:top="1400" w:bottom="1480" w:left="1520" w:right="940"/>
        </w:sectPr>
      </w:pPr>
    </w:p>
    <w:p>
      <w:pPr>
        <w:pStyle w:val="BodyText"/>
        <w:spacing w:before="79"/>
        <w:ind w:left="755"/>
      </w:pPr>
      <w:r>
        <w:rPr/>
        <w:t>materia del presente informe [4].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w:drawing>
          <wp:anchor distT="0" distB="0" distL="0" distR="0" allowOverlap="1" layoutInCell="1" locked="0" behindDoc="0" simplePos="0" relativeHeight="0">
            <wp:simplePos x="0" y="0"/>
            <wp:positionH relativeFrom="page">
              <wp:posOffset>1729739</wp:posOffset>
            </wp:positionH>
            <wp:positionV relativeFrom="paragraph">
              <wp:posOffset>198819</wp:posOffset>
            </wp:positionV>
            <wp:extent cx="3401060" cy="2552319"/>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3401060" cy="2552319"/>
                    </a:xfrm>
                    <a:prstGeom prst="rect">
                      <a:avLst/>
                    </a:prstGeom>
                  </pic:spPr>
                </pic:pic>
              </a:graphicData>
            </a:graphic>
          </wp:anchor>
        </w:drawing>
      </w:r>
    </w:p>
    <w:p>
      <w:pPr>
        <w:pStyle w:val="BodyText"/>
        <w:rPr>
          <w:sz w:val="26"/>
        </w:rPr>
      </w:pPr>
    </w:p>
    <w:p>
      <w:pPr>
        <w:spacing w:before="205"/>
        <w:ind w:left="0" w:right="20" w:firstLine="0"/>
        <w:jc w:val="center"/>
        <w:rPr>
          <w:b/>
          <w:sz w:val="18"/>
        </w:rPr>
      </w:pPr>
      <w:r>
        <w:rPr>
          <w:b/>
          <w:sz w:val="18"/>
        </w:rPr>
        <w:t>FIG. 2 Curva esfuerzo-deformación de espumas sintácticas bajo compresión [18]</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9"/>
        </w:rPr>
      </w:pPr>
    </w:p>
    <w:p>
      <w:pPr>
        <w:pStyle w:val="Heading2"/>
        <w:numPr>
          <w:ilvl w:val="1"/>
          <w:numId w:val="10"/>
        </w:numPr>
        <w:tabs>
          <w:tab w:pos="2242" w:val="left" w:leader="none"/>
        </w:tabs>
        <w:spacing w:line="240" w:lineRule="auto" w:before="0" w:after="0"/>
        <w:ind w:left="2241" w:right="0" w:hanging="407"/>
        <w:jc w:val="left"/>
      </w:pPr>
      <w:bookmarkStart w:name="_bookmark4" w:id="13"/>
      <w:bookmarkEnd w:id="13"/>
      <w:r>
        <w:rPr>
          <w:b w:val="0"/>
        </w:rPr>
      </w:r>
      <w:bookmarkStart w:name="_bookmark4" w:id="14"/>
      <w:bookmarkEnd w:id="14"/>
      <w:r>
        <w:rPr/>
        <w:t>M</w:t>
      </w:r>
      <w:r>
        <w:rPr/>
        <w:t>arco</w:t>
      </w:r>
      <w:r>
        <w:rPr>
          <w:spacing w:val="-1"/>
        </w:rPr>
        <w:t> </w:t>
      </w:r>
      <w:r>
        <w:rPr/>
        <w:t>Conceptual</w:t>
      </w:r>
    </w:p>
    <w:p>
      <w:pPr>
        <w:pStyle w:val="BodyText"/>
        <w:rPr>
          <w:b/>
          <w:sz w:val="26"/>
        </w:rPr>
      </w:pPr>
    </w:p>
    <w:p>
      <w:pPr>
        <w:pStyle w:val="BodyText"/>
        <w:spacing w:before="2"/>
        <w:rPr>
          <w:b/>
          <w:sz w:val="21"/>
        </w:rPr>
      </w:pPr>
    </w:p>
    <w:p>
      <w:pPr>
        <w:pStyle w:val="BodyText"/>
        <w:spacing w:line="360" w:lineRule="auto"/>
        <w:ind w:left="755" w:right="748" w:firstLine="360"/>
        <w:jc w:val="both"/>
      </w:pPr>
      <w:r>
        <w:rPr/>
        <w:t>Los conceptos teóricos utilizados en el desarrollo del presente trabajo se pueden encontrar en textos sobre el comportamiento mecánico de los materiales, especialmente en lo relativo a las curvas esfuerzo–deformación, ya sea bajo tensión o compresión.</w:t>
      </w:r>
    </w:p>
    <w:p>
      <w:pPr>
        <w:pStyle w:val="BodyText"/>
        <w:rPr>
          <w:sz w:val="26"/>
        </w:rPr>
      </w:pPr>
    </w:p>
    <w:p>
      <w:pPr>
        <w:pStyle w:val="BodyText"/>
        <w:spacing w:before="11"/>
        <w:rPr>
          <w:sz w:val="37"/>
        </w:rPr>
      </w:pPr>
    </w:p>
    <w:p>
      <w:pPr>
        <w:pStyle w:val="BodyText"/>
        <w:spacing w:line="360" w:lineRule="auto"/>
        <w:ind w:left="755" w:right="748" w:firstLine="360"/>
        <w:jc w:val="both"/>
      </w:pPr>
      <w:r>
        <w:rPr/>
        <w:t>En lo relativo a las variables involucradas en el desarrollo de las curvas esfuerzo – deformación de las espumas sintácticas en matriz metálica se presenta a continuación una breve descripción de estas variables y sus dimensiones en el sistema internacional de unidades:</w:t>
      </w:r>
    </w:p>
    <w:p>
      <w:pPr>
        <w:spacing w:after="0" w:line="360" w:lineRule="auto"/>
        <w:jc w:val="both"/>
        <w:sectPr>
          <w:pgSz w:w="12240" w:h="15840"/>
          <w:pgMar w:header="0" w:footer="1293" w:top="1400" w:bottom="1480" w:left="1520" w:right="940"/>
        </w:sectPr>
      </w:pPr>
    </w:p>
    <w:p>
      <w:pPr>
        <w:pStyle w:val="BodyText"/>
        <w:spacing w:before="9"/>
      </w:pPr>
    </w:p>
    <w:p>
      <w:pPr>
        <w:pStyle w:val="ListParagraph"/>
        <w:numPr>
          <w:ilvl w:val="0"/>
          <w:numId w:val="12"/>
        </w:numPr>
        <w:tabs>
          <w:tab w:pos="1476" w:val="left" w:leader="none"/>
        </w:tabs>
        <w:spacing w:line="360" w:lineRule="auto" w:before="92" w:after="0"/>
        <w:ind w:left="1475" w:right="757" w:hanging="360"/>
        <w:jc w:val="both"/>
        <w:rPr>
          <w:sz w:val="24"/>
        </w:rPr>
      </w:pPr>
      <w:r>
        <w:rPr>
          <w:b/>
          <w:sz w:val="24"/>
        </w:rPr>
        <w:t>Máximo esfuerzo a la compresión</w:t>
      </w:r>
      <w:r>
        <w:rPr>
          <w:sz w:val="24"/>
        </w:rPr>
        <w:t>: máximo  esfuerzo  de compresión soportado por la espuma, antes de iniciarse la fase de absorción de energía, unidades: MPa (mega</w:t>
      </w:r>
      <w:r>
        <w:rPr>
          <w:spacing w:val="17"/>
          <w:sz w:val="24"/>
        </w:rPr>
        <w:t> </w:t>
      </w:r>
      <w:r>
        <w:rPr>
          <w:sz w:val="24"/>
        </w:rPr>
        <w:t>pascales).</w:t>
      </w:r>
    </w:p>
    <w:p>
      <w:pPr>
        <w:pStyle w:val="BodyText"/>
        <w:rPr>
          <w:sz w:val="26"/>
        </w:rPr>
      </w:pPr>
    </w:p>
    <w:p>
      <w:pPr>
        <w:pStyle w:val="BodyText"/>
        <w:rPr>
          <w:sz w:val="38"/>
        </w:rPr>
      </w:pPr>
    </w:p>
    <w:p>
      <w:pPr>
        <w:pStyle w:val="ListParagraph"/>
        <w:numPr>
          <w:ilvl w:val="0"/>
          <w:numId w:val="12"/>
        </w:numPr>
        <w:tabs>
          <w:tab w:pos="1476" w:val="left" w:leader="none"/>
        </w:tabs>
        <w:spacing w:line="360" w:lineRule="auto" w:before="0" w:after="0"/>
        <w:ind w:left="1475" w:right="758" w:hanging="360"/>
        <w:jc w:val="both"/>
        <w:rPr>
          <w:sz w:val="24"/>
        </w:rPr>
      </w:pPr>
      <w:r>
        <w:rPr>
          <w:b/>
          <w:sz w:val="24"/>
        </w:rPr>
        <w:t>Esfuerzo en absorción</w:t>
      </w:r>
      <w:r>
        <w:rPr>
          <w:sz w:val="24"/>
        </w:rPr>
        <w:t>: esfuerzo promedio de compresión experimentado por la espuma luego de alcanzar el máximo esfuerzo a la compresión, unidades:</w:t>
      </w:r>
      <w:r>
        <w:rPr>
          <w:spacing w:val="1"/>
          <w:sz w:val="24"/>
        </w:rPr>
        <w:t> </w:t>
      </w:r>
      <w:r>
        <w:rPr>
          <w:sz w:val="24"/>
        </w:rPr>
        <w:t>MPa.</w:t>
      </w:r>
    </w:p>
    <w:p>
      <w:pPr>
        <w:pStyle w:val="BodyText"/>
        <w:rPr>
          <w:sz w:val="26"/>
        </w:rPr>
      </w:pPr>
    </w:p>
    <w:p>
      <w:pPr>
        <w:pStyle w:val="BodyText"/>
        <w:rPr>
          <w:sz w:val="27"/>
        </w:rPr>
      </w:pPr>
    </w:p>
    <w:p>
      <w:pPr>
        <w:pStyle w:val="ListParagraph"/>
        <w:numPr>
          <w:ilvl w:val="0"/>
          <w:numId w:val="12"/>
        </w:numPr>
        <w:tabs>
          <w:tab w:pos="1476" w:val="left" w:leader="none"/>
        </w:tabs>
        <w:spacing w:line="360" w:lineRule="auto" w:before="0" w:after="0"/>
        <w:ind w:left="1475" w:right="760" w:hanging="360"/>
        <w:jc w:val="both"/>
        <w:rPr>
          <w:sz w:val="24"/>
        </w:rPr>
      </w:pPr>
      <w:r>
        <w:rPr>
          <w:b/>
          <w:sz w:val="24"/>
        </w:rPr>
        <w:t>Tenacidad de la espuma</w:t>
      </w:r>
      <w:r>
        <w:rPr>
          <w:sz w:val="24"/>
        </w:rPr>
        <w:t>: es la capacidad de absorción de energía</w:t>
      </w:r>
      <w:r>
        <w:rPr>
          <w:spacing w:val="-47"/>
          <w:sz w:val="24"/>
        </w:rPr>
        <w:t> </w:t>
      </w:r>
      <w:r>
        <w:rPr>
          <w:sz w:val="24"/>
        </w:rPr>
        <w:t>de la espuma, obtenida a partir del trabajo de absorción realizado</w:t>
      </w:r>
      <w:r>
        <w:rPr>
          <w:spacing w:val="-32"/>
          <w:sz w:val="24"/>
        </w:rPr>
        <w:t> </w:t>
      </w:r>
      <w:r>
        <w:rPr>
          <w:sz w:val="24"/>
        </w:rPr>
        <w:t>durante</w:t>
      </w:r>
    </w:p>
    <w:p>
      <w:pPr>
        <w:pStyle w:val="BodyText"/>
        <w:spacing w:line="360" w:lineRule="auto" w:before="197"/>
        <w:ind w:left="1475" w:right="754"/>
      </w:pPr>
      <w:r>
        <w:rPr/>
        <w:t>el ensayo de compresión al que es sometida, unidades: J/m</w:t>
      </w:r>
      <w:r>
        <w:rPr>
          <w:vertAlign w:val="superscript"/>
        </w:rPr>
        <w:t>3</w:t>
      </w:r>
      <w:r>
        <w:rPr>
          <w:vertAlign w:val="baseline"/>
        </w:rPr>
        <w:t> (joule por metro cubico).</w:t>
      </w:r>
    </w:p>
    <w:p>
      <w:pPr>
        <w:pStyle w:val="BodyText"/>
        <w:rPr>
          <w:sz w:val="26"/>
        </w:rPr>
      </w:pPr>
    </w:p>
    <w:p>
      <w:pPr>
        <w:pStyle w:val="BodyText"/>
        <w:spacing w:before="7"/>
        <w:rPr>
          <w:sz w:val="37"/>
        </w:rPr>
      </w:pPr>
    </w:p>
    <w:p>
      <w:pPr>
        <w:pStyle w:val="ListParagraph"/>
        <w:numPr>
          <w:ilvl w:val="0"/>
          <w:numId w:val="12"/>
        </w:numPr>
        <w:tabs>
          <w:tab w:pos="1476" w:val="left" w:leader="none"/>
        </w:tabs>
        <w:spacing w:line="357" w:lineRule="auto" w:before="0" w:after="0"/>
        <w:ind w:left="1475" w:right="755" w:hanging="360"/>
        <w:jc w:val="both"/>
        <w:rPr>
          <w:sz w:val="24"/>
        </w:rPr>
      </w:pPr>
      <w:r>
        <w:rPr>
          <w:b/>
          <w:sz w:val="24"/>
        </w:rPr>
        <w:t>Deformación de densificación</w:t>
      </w:r>
      <w:r>
        <w:rPr>
          <w:sz w:val="24"/>
        </w:rPr>
        <w:t>: deformación experimentada por la espuma al término del trabajo de absorción de energía, unidades: adimensional (expresada como % referido a </w:t>
      </w:r>
      <w:r>
        <w:rPr>
          <w:spacing w:val="-3"/>
          <w:sz w:val="24"/>
        </w:rPr>
        <w:t>la </w:t>
      </w:r>
      <w:r>
        <w:rPr>
          <w:sz w:val="24"/>
        </w:rPr>
        <w:t>dimensión original de la espuma).</w:t>
      </w:r>
    </w:p>
    <w:p>
      <w:pPr>
        <w:spacing w:after="0" w:line="357" w:lineRule="auto"/>
        <w:jc w:val="both"/>
        <w:rPr>
          <w:sz w:val="24"/>
        </w:rPr>
        <w:sectPr>
          <w:pgSz w:w="12240" w:h="15840"/>
          <w:pgMar w:header="0" w:footer="1293" w:top="1500" w:bottom="1480" w:left="1520" w:right="940"/>
        </w:sectPr>
      </w:pPr>
    </w:p>
    <w:p>
      <w:pPr>
        <w:pStyle w:val="Heading2"/>
        <w:numPr>
          <w:ilvl w:val="0"/>
          <w:numId w:val="6"/>
        </w:numPr>
        <w:tabs>
          <w:tab w:pos="1835" w:val="left" w:leader="none"/>
          <w:tab w:pos="1836" w:val="left" w:leader="none"/>
        </w:tabs>
        <w:spacing w:line="240" w:lineRule="auto" w:before="77" w:after="0"/>
        <w:ind w:left="1835" w:right="0" w:hanging="721"/>
        <w:jc w:val="left"/>
      </w:pPr>
      <w:bookmarkStart w:name="_bookmark5" w:id="15"/>
      <w:bookmarkEnd w:id="15"/>
      <w:r>
        <w:rPr>
          <w:b w:val="0"/>
        </w:rPr>
      </w:r>
      <w:bookmarkStart w:name="_bookmark5" w:id="16"/>
      <w:bookmarkEnd w:id="16"/>
      <w:r>
        <w:rPr/>
        <w:t>OBJ</w:t>
      </w:r>
      <w:r>
        <w:rPr/>
        <w:t>ETIVOS</w:t>
      </w:r>
    </w:p>
    <w:p>
      <w:pPr>
        <w:pStyle w:val="BodyText"/>
        <w:rPr>
          <w:b/>
          <w:sz w:val="26"/>
        </w:rPr>
      </w:pPr>
    </w:p>
    <w:p>
      <w:pPr>
        <w:pStyle w:val="BodyText"/>
        <w:rPr>
          <w:b/>
          <w:sz w:val="26"/>
        </w:rPr>
      </w:pPr>
    </w:p>
    <w:p>
      <w:pPr>
        <w:pStyle w:val="BodyText"/>
        <w:spacing w:before="5"/>
        <w:rPr>
          <w:b/>
          <w:sz w:val="31"/>
        </w:rPr>
      </w:pPr>
    </w:p>
    <w:p>
      <w:pPr>
        <w:pStyle w:val="Heading2"/>
        <w:numPr>
          <w:ilvl w:val="1"/>
          <w:numId w:val="13"/>
        </w:numPr>
        <w:tabs>
          <w:tab w:pos="1567" w:val="left" w:leader="none"/>
        </w:tabs>
        <w:spacing w:line="240" w:lineRule="auto" w:before="0" w:after="0"/>
        <w:ind w:left="1566" w:right="0" w:hanging="406"/>
        <w:jc w:val="left"/>
      </w:pPr>
      <w:bookmarkStart w:name="_bookmark6" w:id="17"/>
      <w:bookmarkEnd w:id="17"/>
      <w:r>
        <w:rPr>
          <w:b w:val="0"/>
        </w:rPr>
      </w:r>
      <w:bookmarkStart w:name="_bookmark6" w:id="18"/>
      <w:bookmarkEnd w:id="18"/>
      <w:r>
        <w:rPr/>
        <w:t>O</w:t>
      </w:r>
      <w:r>
        <w:rPr/>
        <w:t>bjetivo</w:t>
      </w:r>
      <w:r>
        <w:rPr>
          <w:spacing w:val="-1"/>
        </w:rPr>
        <w:t> </w:t>
      </w:r>
      <w:r>
        <w:rPr/>
        <w:t>Principal</w:t>
      </w:r>
    </w:p>
    <w:p>
      <w:pPr>
        <w:pStyle w:val="BodyText"/>
        <w:rPr>
          <w:b/>
          <w:sz w:val="26"/>
        </w:rPr>
      </w:pPr>
    </w:p>
    <w:p>
      <w:pPr>
        <w:pStyle w:val="BodyText"/>
        <w:rPr>
          <w:b/>
          <w:sz w:val="26"/>
        </w:rPr>
      </w:pPr>
    </w:p>
    <w:p>
      <w:pPr>
        <w:pStyle w:val="BodyText"/>
        <w:spacing w:before="5"/>
        <w:rPr>
          <w:b/>
          <w:sz w:val="20"/>
        </w:rPr>
      </w:pPr>
    </w:p>
    <w:p>
      <w:pPr>
        <w:pStyle w:val="BodyText"/>
        <w:spacing w:line="360" w:lineRule="auto"/>
        <w:ind w:left="1161" w:right="750" w:firstLine="314"/>
        <w:jc w:val="both"/>
      </w:pPr>
      <w:r>
        <w:rPr/>
        <w:t>Efectuar una evaluación comparativa de las espumas sintácticas sintetizadas para diferentes combinaciones de matrices metálicas y partículas huecas de refuerzo (micro-balones). Dicha evaluación será efectuada sobre la base del desempeño de estos materiales para aplicaciones que requieren elevada absorción de energía.</w:t>
      </w:r>
    </w:p>
    <w:p>
      <w:pPr>
        <w:pStyle w:val="BodyText"/>
        <w:rPr>
          <w:sz w:val="26"/>
        </w:rPr>
      </w:pPr>
    </w:p>
    <w:p>
      <w:pPr>
        <w:pStyle w:val="BodyText"/>
        <w:rPr>
          <w:sz w:val="26"/>
        </w:rPr>
      </w:pPr>
    </w:p>
    <w:p>
      <w:pPr>
        <w:pStyle w:val="BodyText"/>
        <w:spacing w:before="6"/>
      </w:pPr>
    </w:p>
    <w:p>
      <w:pPr>
        <w:pStyle w:val="Heading2"/>
        <w:numPr>
          <w:ilvl w:val="1"/>
          <w:numId w:val="13"/>
        </w:numPr>
        <w:tabs>
          <w:tab w:pos="1567" w:val="left" w:leader="none"/>
        </w:tabs>
        <w:spacing w:line="240" w:lineRule="auto" w:before="1" w:after="0"/>
        <w:ind w:left="1566" w:right="0" w:hanging="406"/>
        <w:jc w:val="left"/>
      </w:pPr>
      <w:bookmarkStart w:name="_bookmark7" w:id="19"/>
      <w:bookmarkEnd w:id="19"/>
      <w:r>
        <w:rPr>
          <w:b w:val="0"/>
        </w:rPr>
      </w:r>
      <w:bookmarkStart w:name="_bookmark7" w:id="20"/>
      <w:bookmarkEnd w:id="20"/>
      <w:r>
        <w:rPr/>
        <w:t>O</w:t>
      </w:r>
      <w:r>
        <w:rPr/>
        <w:t>bjetivos</w:t>
      </w:r>
      <w:r>
        <w:rPr>
          <w:spacing w:val="-1"/>
        </w:rPr>
        <w:t> </w:t>
      </w:r>
      <w:r>
        <w:rPr/>
        <w:t>Específicos</w:t>
      </w:r>
    </w:p>
    <w:p>
      <w:pPr>
        <w:pStyle w:val="BodyText"/>
        <w:rPr>
          <w:b/>
          <w:sz w:val="26"/>
        </w:rPr>
      </w:pPr>
    </w:p>
    <w:p>
      <w:pPr>
        <w:pStyle w:val="BodyText"/>
        <w:rPr>
          <w:b/>
          <w:sz w:val="26"/>
        </w:rPr>
      </w:pPr>
    </w:p>
    <w:p>
      <w:pPr>
        <w:pStyle w:val="BodyText"/>
        <w:spacing w:before="4"/>
        <w:rPr>
          <w:b/>
          <w:sz w:val="20"/>
        </w:rPr>
      </w:pPr>
    </w:p>
    <w:p>
      <w:pPr>
        <w:pStyle w:val="ListParagraph"/>
        <w:numPr>
          <w:ilvl w:val="2"/>
          <w:numId w:val="13"/>
        </w:numPr>
        <w:tabs>
          <w:tab w:pos="1836" w:val="left" w:leader="none"/>
        </w:tabs>
        <w:spacing w:line="360" w:lineRule="auto" w:before="0" w:after="0"/>
        <w:ind w:left="1835" w:right="856" w:hanging="720"/>
        <w:jc w:val="both"/>
        <w:rPr>
          <w:sz w:val="24"/>
        </w:rPr>
      </w:pPr>
      <w:r>
        <w:rPr>
          <w:sz w:val="24"/>
        </w:rPr>
        <w:t>Analizar la relación entre la micro estructura de las muestras de espumas sintácticas metálicas obtenidas experimentalmente y sus propiedades de resistencia a </w:t>
      </w:r>
      <w:r>
        <w:rPr>
          <w:spacing w:val="-3"/>
          <w:sz w:val="24"/>
        </w:rPr>
        <w:t>la </w:t>
      </w:r>
      <w:r>
        <w:rPr>
          <w:sz w:val="24"/>
        </w:rPr>
        <w:t>compresión.</w:t>
      </w:r>
    </w:p>
    <w:p>
      <w:pPr>
        <w:pStyle w:val="BodyText"/>
        <w:rPr>
          <w:sz w:val="26"/>
        </w:rPr>
      </w:pPr>
    </w:p>
    <w:p>
      <w:pPr>
        <w:pStyle w:val="BodyText"/>
        <w:spacing w:before="8"/>
        <w:rPr>
          <w:sz w:val="25"/>
        </w:rPr>
      </w:pPr>
    </w:p>
    <w:p>
      <w:pPr>
        <w:pStyle w:val="ListParagraph"/>
        <w:numPr>
          <w:ilvl w:val="2"/>
          <w:numId w:val="13"/>
        </w:numPr>
        <w:tabs>
          <w:tab w:pos="1836" w:val="left" w:leader="none"/>
        </w:tabs>
        <w:spacing w:line="360" w:lineRule="auto" w:before="0" w:after="0"/>
        <w:ind w:left="1835" w:right="870" w:hanging="720"/>
        <w:jc w:val="both"/>
        <w:rPr>
          <w:sz w:val="24"/>
        </w:rPr>
      </w:pPr>
      <w:r>
        <w:rPr>
          <w:sz w:val="24"/>
        </w:rPr>
        <w:t>Analizar el efecto de las matrices metálicas de las espumas sintácticas obtenidas experimentalmente, sobre los parámetros utilizados para la caracterización de su capacidad de absorción de energía.</w:t>
      </w:r>
    </w:p>
    <w:p>
      <w:pPr>
        <w:pStyle w:val="BodyText"/>
        <w:rPr>
          <w:sz w:val="26"/>
        </w:rPr>
      </w:pPr>
    </w:p>
    <w:p>
      <w:pPr>
        <w:pStyle w:val="ListParagraph"/>
        <w:numPr>
          <w:ilvl w:val="2"/>
          <w:numId w:val="13"/>
        </w:numPr>
        <w:tabs>
          <w:tab w:pos="1836" w:val="left" w:leader="none"/>
        </w:tabs>
        <w:spacing w:line="360" w:lineRule="auto" w:before="233" w:after="0"/>
        <w:ind w:left="1835" w:right="1031" w:hanging="720"/>
        <w:jc w:val="both"/>
        <w:rPr>
          <w:sz w:val="24"/>
        </w:rPr>
      </w:pPr>
      <w:r>
        <w:rPr>
          <w:sz w:val="24"/>
        </w:rPr>
        <w:t>Analizar el efecto de los tratamientos térmicos efectuados a las espumas sintácticas obtenidas experimentalmente, sobre los parámetros utilizados para la caracterización de su capacidad de absorción de</w:t>
      </w:r>
      <w:r>
        <w:rPr>
          <w:spacing w:val="-3"/>
          <w:sz w:val="24"/>
        </w:rPr>
        <w:t> </w:t>
      </w:r>
      <w:r>
        <w:rPr>
          <w:sz w:val="24"/>
        </w:rPr>
        <w:t>energía.</w:t>
      </w:r>
    </w:p>
    <w:p>
      <w:pPr>
        <w:spacing w:after="0" w:line="360" w:lineRule="auto"/>
        <w:jc w:val="both"/>
        <w:rPr>
          <w:sz w:val="24"/>
        </w:rPr>
        <w:sectPr>
          <w:pgSz w:w="12240" w:h="15840"/>
          <w:pgMar w:header="0" w:footer="1293" w:top="1400" w:bottom="1480" w:left="1520" w:right="940"/>
        </w:sectPr>
      </w:pPr>
    </w:p>
    <w:p>
      <w:pPr>
        <w:pStyle w:val="ListParagraph"/>
        <w:numPr>
          <w:ilvl w:val="2"/>
          <w:numId w:val="13"/>
        </w:numPr>
        <w:tabs>
          <w:tab w:pos="1836" w:val="left" w:leader="none"/>
        </w:tabs>
        <w:spacing w:line="360" w:lineRule="auto" w:before="79" w:after="0"/>
        <w:ind w:left="1835" w:right="853" w:hanging="720"/>
        <w:jc w:val="both"/>
        <w:rPr>
          <w:sz w:val="24"/>
        </w:rPr>
      </w:pPr>
      <w:r>
        <w:rPr>
          <w:sz w:val="24"/>
        </w:rPr>
        <w:t>Recomendar las líneas de investigación a seguir para la optimización de las propiedades de las espumas sintácticas obtenidas en el presente estudio, básicamente en lo que se refiere a su capacidad de absorción de</w:t>
      </w:r>
      <w:r>
        <w:rPr>
          <w:spacing w:val="-10"/>
          <w:sz w:val="24"/>
        </w:rPr>
        <w:t> </w:t>
      </w:r>
      <w:r>
        <w:rPr>
          <w:sz w:val="24"/>
        </w:rPr>
        <w:t>energía.</w:t>
      </w:r>
    </w:p>
    <w:p>
      <w:pPr>
        <w:spacing w:after="0" w:line="360" w:lineRule="auto"/>
        <w:jc w:val="both"/>
        <w:rPr>
          <w:sz w:val="24"/>
        </w:rPr>
        <w:sectPr>
          <w:pgSz w:w="12240" w:h="15840"/>
          <w:pgMar w:header="0" w:footer="1293" w:top="1400" w:bottom="1480" w:left="1520" w:right="9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Heading2"/>
        <w:numPr>
          <w:ilvl w:val="0"/>
          <w:numId w:val="6"/>
        </w:numPr>
        <w:tabs>
          <w:tab w:pos="1835" w:val="left" w:leader="none"/>
          <w:tab w:pos="1836" w:val="left" w:leader="none"/>
        </w:tabs>
        <w:spacing w:line="240" w:lineRule="auto" w:before="1" w:after="0"/>
        <w:ind w:left="1835" w:right="0" w:hanging="721"/>
        <w:jc w:val="left"/>
      </w:pPr>
      <w:bookmarkStart w:name="_TOC_250005" w:id="21"/>
      <w:bookmarkEnd w:id="21"/>
      <w:r>
        <w:rPr/>
        <w:t>HIPÓTESIS</w:t>
      </w:r>
    </w:p>
    <w:p>
      <w:pPr>
        <w:pStyle w:val="BodyText"/>
        <w:rPr>
          <w:b/>
          <w:sz w:val="26"/>
        </w:rPr>
      </w:pPr>
    </w:p>
    <w:p>
      <w:pPr>
        <w:pStyle w:val="BodyText"/>
        <w:rPr>
          <w:b/>
          <w:sz w:val="26"/>
        </w:rPr>
      </w:pPr>
    </w:p>
    <w:p>
      <w:pPr>
        <w:pStyle w:val="BodyText"/>
        <w:rPr>
          <w:b/>
          <w:sz w:val="26"/>
        </w:rPr>
      </w:pPr>
    </w:p>
    <w:p>
      <w:pPr>
        <w:pStyle w:val="BodyText"/>
        <w:rPr>
          <w:b/>
          <w:sz w:val="26"/>
        </w:rPr>
      </w:pPr>
    </w:p>
    <w:p>
      <w:pPr>
        <w:pStyle w:val="ListParagraph"/>
        <w:numPr>
          <w:ilvl w:val="1"/>
          <w:numId w:val="14"/>
        </w:numPr>
        <w:tabs>
          <w:tab w:pos="1903" w:val="left" w:leader="none"/>
        </w:tabs>
        <w:spacing w:line="360" w:lineRule="auto" w:before="193" w:after="0"/>
        <w:ind w:left="1835" w:right="764" w:hanging="360"/>
        <w:jc w:val="left"/>
        <w:rPr>
          <w:sz w:val="24"/>
        </w:rPr>
      </w:pPr>
      <w:r>
        <w:rPr>
          <w:sz w:val="24"/>
        </w:rPr>
        <w:t>Existe</w:t>
      </w:r>
      <w:r>
        <w:rPr>
          <w:spacing w:val="-11"/>
          <w:sz w:val="24"/>
        </w:rPr>
        <w:t> </w:t>
      </w:r>
      <w:r>
        <w:rPr>
          <w:sz w:val="24"/>
        </w:rPr>
        <w:t>una</w:t>
      </w:r>
      <w:r>
        <w:rPr>
          <w:spacing w:val="-10"/>
          <w:sz w:val="24"/>
        </w:rPr>
        <w:t> </w:t>
      </w:r>
      <w:r>
        <w:rPr>
          <w:sz w:val="24"/>
        </w:rPr>
        <w:t>relación</w:t>
      </w:r>
      <w:r>
        <w:rPr>
          <w:spacing w:val="-15"/>
          <w:sz w:val="24"/>
        </w:rPr>
        <w:t> </w:t>
      </w:r>
      <w:r>
        <w:rPr>
          <w:sz w:val="24"/>
        </w:rPr>
        <w:t>entre</w:t>
      </w:r>
      <w:r>
        <w:rPr>
          <w:spacing w:val="-11"/>
          <w:sz w:val="24"/>
        </w:rPr>
        <w:t> </w:t>
      </w:r>
      <w:r>
        <w:rPr>
          <w:sz w:val="24"/>
        </w:rPr>
        <w:t>la</w:t>
      </w:r>
      <w:r>
        <w:rPr>
          <w:spacing w:val="-12"/>
          <w:sz w:val="24"/>
        </w:rPr>
        <w:t> </w:t>
      </w:r>
      <w:r>
        <w:rPr>
          <w:sz w:val="24"/>
        </w:rPr>
        <w:t>matriz</w:t>
      </w:r>
      <w:r>
        <w:rPr>
          <w:spacing w:val="-15"/>
          <w:sz w:val="24"/>
        </w:rPr>
        <w:t> </w:t>
      </w:r>
      <w:r>
        <w:rPr>
          <w:sz w:val="24"/>
        </w:rPr>
        <w:t>metálica</w:t>
      </w:r>
      <w:r>
        <w:rPr>
          <w:spacing w:val="-14"/>
          <w:sz w:val="24"/>
        </w:rPr>
        <w:t> </w:t>
      </w:r>
      <w:r>
        <w:rPr>
          <w:sz w:val="24"/>
        </w:rPr>
        <w:t>utilizada</w:t>
      </w:r>
      <w:r>
        <w:rPr>
          <w:spacing w:val="-10"/>
          <w:sz w:val="24"/>
        </w:rPr>
        <w:t> </w:t>
      </w:r>
      <w:r>
        <w:rPr>
          <w:sz w:val="24"/>
        </w:rPr>
        <w:t>para</w:t>
      </w:r>
      <w:r>
        <w:rPr>
          <w:spacing w:val="-10"/>
          <w:sz w:val="24"/>
        </w:rPr>
        <w:t> </w:t>
      </w:r>
      <w:r>
        <w:rPr>
          <w:sz w:val="24"/>
        </w:rPr>
        <w:t>la</w:t>
      </w:r>
      <w:r>
        <w:rPr>
          <w:spacing w:val="-11"/>
          <w:sz w:val="24"/>
        </w:rPr>
        <w:t> </w:t>
      </w:r>
      <w:r>
        <w:rPr>
          <w:sz w:val="24"/>
        </w:rPr>
        <w:t>síntesis de</w:t>
      </w:r>
      <w:r>
        <w:rPr>
          <w:spacing w:val="-10"/>
          <w:sz w:val="24"/>
        </w:rPr>
        <w:t> </w:t>
      </w:r>
      <w:r>
        <w:rPr>
          <w:sz w:val="24"/>
        </w:rPr>
        <w:t>las</w:t>
      </w:r>
      <w:r>
        <w:rPr>
          <w:spacing w:val="-11"/>
          <w:sz w:val="24"/>
        </w:rPr>
        <w:t> </w:t>
      </w:r>
      <w:r>
        <w:rPr>
          <w:sz w:val="24"/>
        </w:rPr>
        <w:t>espumas</w:t>
      </w:r>
      <w:r>
        <w:rPr>
          <w:spacing w:val="-8"/>
          <w:sz w:val="24"/>
        </w:rPr>
        <w:t> </w:t>
      </w:r>
      <w:r>
        <w:rPr>
          <w:sz w:val="24"/>
        </w:rPr>
        <w:t>sintácticas</w:t>
      </w:r>
      <w:r>
        <w:rPr>
          <w:spacing w:val="-11"/>
          <w:sz w:val="24"/>
        </w:rPr>
        <w:t> </w:t>
      </w:r>
      <w:r>
        <w:rPr>
          <w:sz w:val="24"/>
        </w:rPr>
        <w:t>y</w:t>
      </w:r>
      <w:r>
        <w:rPr>
          <w:spacing w:val="-13"/>
          <w:sz w:val="24"/>
        </w:rPr>
        <w:t> </w:t>
      </w:r>
      <w:r>
        <w:rPr>
          <w:sz w:val="24"/>
        </w:rPr>
        <w:t>su</w:t>
      </w:r>
      <w:r>
        <w:rPr>
          <w:spacing w:val="-10"/>
          <w:sz w:val="24"/>
        </w:rPr>
        <w:t> </w:t>
      </w:r>
      <w:r>
        <w:rPr>
          <w:sz w:val="24"/>
        </w:rPr>
        <w:t>capacidad</w:t>
      </w:r>
      <w:r>
        <w:rPr>
          <w:spacing w:val="-12"/>
          <w:sz w:val="24"/>
        </w:rPr>
        <w:t> </w:t>
      </w:r>
      <w:r>
        <w:rPr>
          <w:sz w:val="24"/>
        </w:rPr>
        <w:t>de</w:t>
      </w:r>
      <w:r>
        <w:rPr>
          <w:spacing w:val="-14"/>
          <w:sz w:val="24"/>
        </w:rPr>
        <w:t> </w:t>
      </w:r>
      <w:r>
        <w:rPr>
          <w:sz w:val="24"/>
        </w:rPr>
        <w:t>absorción</w:t>
      </w:r>
      <w:r>
        <w:rPr>
          <w:spacing w:val="-10"/>
          <w:sz w:val="24"/>
        </w:rPr>
        <w:t> </w:t>
      </w:r>
      <w:r>
        <w:rPr>
          <w:sz w:val="24"/>
        </w:rPr>
        <w:t>de</w:t>
      </w:r>
      <w:r>
        <w:rPr>
          <w:spacing w:val="-10"/>
          <w:sz w:val="24"/>
        </w:rPr>
        <w:t> </w:t>
      </w:r>
      <w:r>
        <w:rPr>
          <w:sz w:val="24"/>
        </w:rPr>
        <w:t>energía.</w:t>
      </w:r>
    </w:p>
    <w:p>
      <w:pPr>
        <w:pStyle w:val="BodyText"/>
        <w:rPr>
          <w:sz w:val="26"/>
        </w:rPr>
      </w:pPr>
    </w:p>
    <w:p>
      <w:pPr>
        <w:pStyle w:val="BodyText"/>
        <w:rPr>
          <w:sz w:val="26"/>
        </w:rPr>
      </w:pPr>
    </w:p>
    <w:p>
      <w:pPr>
        <w:pStyle w:val="BodyText"/>
        <w:rPr>
          <w:sz w:val="26"/>
        </w:rPr>
      </w:pPr>
    </w:p>
    <w:p>
      <w:pPr>
        <w:pStyle w:val="BodyText"/>
        <w:spacing w:before="9"/>
        <w:rPr>
          <w:sz w:val="35"/>
        </w:rPr>
      </w:pPr>
    </w:p>
    <w:p>
      <w:pPr>
        <w:pStyle w:val="ListParagraph"/>
        <w:numPr>
          <w:ilvl w:val="1"/>
          <w:numId w:val="14"/>
        </w:numPr>
        <w:tabs>
          <w:tab w:pos="1903" w:val="left" w:leader="none"/>
        </w:tabs>
        <w:spacing w:line="360" w:lineRule="auto" w:before="1" w:after="0"/>
        <w:ind w:left="1835" w:right="1219" w:hanging="360"/>
        <w:jc w:val="both"/>
        <w:rPr>
          <w:sz w:val="24"/>
        </w:rPr>
      </w:pPr>
      <w:r>
        <w:rPr>
          <w:sz w:val="24"/>
        </w:rPr>
        <w:t>Los tratamientos térmicos efectuados sobre muestras de espumas sintácticas mejoran su capacidad de absorción de energía, con relación a las muestras de espumas no</w:t>
      </w:r>
      <w:r>
        <w:rPr>
          <w:spacing w:val="-33"/>
          <w:sz w:val="24"/>
        </w:rPr>
        <w:t> </w:t>
      </w:r>
      <w:r>
        <w:rPr>
          <w:sz w:val="24"/>
        </w:rPr>
        <w:t>tratadas.</w:t>
      </w:r>
    </w:p>
    <w:p>
      <w:pPr>
        <w:spacing w:after="0" w:line="360" w:lineRule="auto"/>
        <w:jc w:val="both"/>
        <w:rPr>
          <w:sz w:val="24"/>
        </w:rPr>
        <w:sectPr>
          <w:pgSz w:w="12240" w:h="15840"/>
          <w:pgMar w:header="0" w:footer="1293" w:top="1500" w:bottom="1480" w:left="1520" w:right="940"/>
        </w:sectPr>
      </w:pPr>
    </w:p>
    <w:p>
      <w:pPr>
        <w:pStyle w:val="BodyText"/>
        <w:rPr>
          <w:sz w:val="20"/>
        </w:rPr>
      </w:pPr>
    </w:p>
    <w:p>
      <w:pPr>
        <w:pStyle w:val="BodyText"/>
        <w:spacing w:before="1"/>
        <w:rPr>
          <w:sz w:val="22"/>
        </w:rPr>
      </w:pPr>
    </w:p>
    <w:p>
      <w:pPr>
        <w:pStyle w:val="Heading2"/>
        <w:numPr>
          <w:ilvl w:val="0"/>
          <w:numId w:val="6"/>
        </w:numPr>
        <w:tabs>
          <w:tab w:pos="1835" w:val="left" w:leader="none"/>
          <w:tab w:pos="1836" w:val="left" w:leader="none"/>
        </w:tabs>
        <w:spacing w:line="240" w:lineRule="auto" w:before="93" w:after="0"/>
        <w:ind w:left="1835" w:right="0" w:hanging="721"/>
        <w:jc w:val="left"/>
      </w:pPr>
      <w:bookmarkStart w:name="_bookmark8" w:id="22"/>
      <w:bookmarkEnd w:id="22"/>
      <w:r>
        <w:rPr>
          <w:b w:val="0"/>
        </w:rPr>
      </w:r>
      <w:bookmarkStart w:name="_bookmark8" w:id="23"/>
      <w:bookmarkEnd w:id="23"/>
      <w:r>
        <w:rPr/>
        <w:t>V</w:t>
      </w:r>
      <w:r>
        <w:rPr/>
        <w:t>ARIABLES</w:t>
      </w:r>
    </w:p>
    <w:p>
      <w:pPr>
        <w:pStyle w:val="BodyText"/>
        <w:rPr>
          <w:b/>
          <w:sz w:val="26"/>
        </w:rPr>
      </w:pPr>
    </w:p>
    <w:p>
      <w:pPr>
        <w:pStyle w:val="BodyText"/>
        <w:rPr>
          <w:b/>
          <w:sz w:val="26"/>
        </w:rPr>
      </w:pPr>
    </w:p>
    <w:p>
      <w:pPr>
        <w:pStyle w:val="BodyText"/>
        <w:rPr>
          <w:b/>
          <w:sz w:val="26"/>
        </w:rPr>
      </w:pPr>
    </w:p>
    <w:p>
      <w:pPr>
        <w:pStyle w:val="BodyText"/>
        <w:spacing w:before="3"/>
        <w:rPr>
          <w:b/>
          <w:sz w:val="29"/>
        </w:rPr>
      </w:pPr>
    </w:p>
    <w:p>
      <w:pPr>
        <w:pStyle w:val="BodyText"/>
        <w:spacing w:line="360" w:lineRule="auto"/>
        <w:ind w:left="755" w:right="512" w:firstLine="360"/>
      </w:pPr>
      <w:r>
        <w:rPr/>
        <w:t>Las variables utilizadas para la evaluación de las espumas sintácticas son las siguientes:</w:t>
      </w:r>
    </w:p>
    <w:p>
      <w:pPr>
        <w:pStyle w:val="BodyText"/>
        <w:rPr>
          <w:sz w:val="26"/>
        </w:rPr>
      </w:pPr>
    </w:p>
    <w:p>
      <w:pPr>
        <w:pStyle w:val="BodyText"/>
        <w:spacing w:before="8"/>
        <w:rPr>
          <w:sz w:val="37"/>
        </w:rPr>
      </w:pPr>
    </w:p>
    <w:p>
      <w:pPr>
        <w:pStyle w:val="ListParagraph"/>
        <w:numPr>
          <w:ilvl w:val="0"/>
          <w:numId w:val="15"/>
        </w:numPr>
        <w:tabs>
          <w:tab w:pos="1476" w:val="left" w:leader="none"/>
        </w:tabs>
        <w:spacing w:line="240" w:lineRule="auto" w:before="0" w:after="0"/>
        <w:ind w:left="1475" w:right="0" w:hanging="361"/>
        <w:jc w:val="left"/>
        <w:rPr>
          <w:sz w:val="24"/>
        </w:rPr>
      </w:pPr>
      <w:r>
        <w:rPr>
          <w:sz w:val="24"/>
        </w:rPr>
        <w:t>Máximo esfuerzo a la compresión (Peak stress)</w:t>
      </w:r>
    </w:p>
    <w:p>
      <w:pPr>
        <w:pStyle w:val="BodyText"/>
        <w:rPr>
          <w:sz w:val="26"/>
        </w:rPr>
      </w:pPr>
    </w:p>
    <w:p>
      <w:pPr>
        <w:pStyle w:val="BodyText"/>
        <w:rPr>
          <w:sz w:val="26"/>
        </w:rPr>
      </w:pPr>
    </w:p>
    <w:p>
      <w:pPr>
        <w:pStyle w:val="BodyText"/>
        <w:spacing w:before="3"/>
        <w:rPr>
          <w:sz w:val="27"/>
        </w:rPr>
      </w:pPr>
    </w:p>
    <w:p>
      <w:pPr>
        <w:pStyle w:val="ListParagraph"/>
        <w:numPr>
          <w:ilvl w:val="0"/>
          <w:numId w:val="15"/>
        </w:numPr>
        <w:tabs>
          <w:tab w:pos="1476" w:val="left" w:leader="none"/>
        </w:tabs>
        <w:spacing w:line="240" w:lineRule="auto" w:before="1" w:after="0"/>
        <w:ind w:left="1475" w:right="0" w:hanging="361"/>
        <w:jc w:val="left"/>
        <w:rPr>
          <w:sz w:val="24"/>
        </w:rPr>
      </w:pPr>
      <w:r>
        <w:rPr>
          <w:sz w:val="24"/>
        </w:rPr>
        <w:t>Esfuerzo en absorción (Plateau</w:t>
      </w:r>
      <w:r>
        <w:rPr>
          <w:spacing w:val="-3"/>
          <w:sz w:val="24"/>
        </w:rPr>
        <w:t> </w:t>
      </w:r>
      <w:r>
        <w:rPr>
          <w:sz w:val="24"/>
        </w:rPr>
        <w:t>stress)</w:t>
      </w:r>
    </w:p>
    <w:p>
      <w:pPr>
        <w:pStyle w:val="BodyText"/>
        <w:rPr>
          <w:sz w:val="26"/>
        </w:rPr>
      </w:pPr>
    </w:p>
    <w:p>
      <w:pPr>
        <w:pStyle w:val="BodyText"/>
        <w:rPr>
          <w:sz w:val="26"/>
        </w:rPr>
      </w:pPr>
    </w:p>
    <w:p>
      <w:pPr>
        <w:pStyle w:val="BodyText"/>
        <w:spacing w:before="5"/>
        <w:rPr>
          <w:sz w:val="27"/>
        </w:rPr>
      </w:pPr>
    </w:p>
    <w:p>
      <w:pPr>
        <w:pStyle w:val="ListParagraph"/>
        <w:numPr>
          <w:ilvl w:val="0"/>
          <w:numId w:val="15"/>
        </w:numPr>
        <w:tabs>
          <w:tab w:pos="1476" w:val="left" w:leader="none"/>
        </w:tabs>
        <w:spacing w:line="240" w:lineRule="auto" w:before="1" w:after="0"/>
        <w:ind w:left="1475" w:right="0" w:hanging="361"/>
        <w:jc w:val="left"/>
        <w:rPr>
          <w:sz w:val="24"/>
        </w:rPr>
      </w:pPr>
      <w:r>
        <w:rPr>
          <w:sz w:val="24"/>
        </w:rPr>
        <w:t>Tenacidad de la espuma</w:t>
      </w:r>
      <w:r>
        <w:rPr>
          <w:spacing w:val="-1"/>
          <w:sz w:val="24"/>
        </w:rPr>
        <w:t> </w:t>
      </w:r>
      <w:r>
        <w:rPr>
          <w:sz w:val="24"/>
        </w:rPr>
        <w:t>(Toughness)</w:t>
      </w:r>
    </w:p>
    <w:p>
      <w:pPr>
        <w:pStyle w:val="BodyText"/>
        <w:rPr>
          <w:sz w:val="26"/>
        </w:rPr>
      </w:pPr>
    </w:p>
    <w:p>
      <w:pPr>
        <w:pStyle w:val="BodyText"/>
        <w:rPr>
          <w:sz w:val="26"/>
        </w:rPr>
      </w:pPr>
    </w:p>
    <w:p>
      <w:pPr>
        <w:pStyle w:val="BodyText"/>
        <w:spacing w:before="3"/>
        <w:rPr>
          <w:sz w:val="27"/>
        </w:rPr>
      </w:pPr>
    </w:p>
    <w:p>
      <w:pPr>
        <w:pStyle w:val="ListParagraph"/>
        <w:numPr>
          <w:ilvl w:val="0"/>
          <w:numId w:val="15"/>
        </w:numPr>
        <w:tabs>
          <w:tab w:pos="1476" w:val="left" w:leader="none"/>
        </w:tabs>
        <w:spacing w:line="240" w:lineRule="auto" w:before="1" w:after="0"/>
        <w:ind w:left="1475" w:right="0" w:hanging="361"/>
        <w:jc w:val="left"/>
        <w:rPr>
          <w:sz w:val="24"/>
        </w:rPr>
      </w:pPr>
      <w:r>
        <w:rPr>
          <w:sz w:val="24"/>
        </w:rPr>
        <w:t>Deformación de densificación (Deformation</w:t>
      </w:r>
      <w:r>
        <w:rPr>
          <w:spacing w:val="-6"/>
          <w:sz w:val="24"/>
        </w:rPr>
        <w:t> </w:t>
      </w:r>
      <w:r>
        <w:rPr>
          <w:sz w:val="24"/>
        </w:rPr>
        <w:t>strain)</w:t>
      </w:r>
    </w:p>
    <w:p>
      <w:pPr>
        <w:spacing w:after="0" w:line="240" w:lineRule="auto"/>
        <w:jc w:val="left"/>
        <w:rPr>
          <w:sz w:val="24"/>
        </w:rPr>
        <w:sectPr>
          <w:pgSz w:w="12240" w:h="15840"/>
          <w:pgMar w:header="0" w:footer="1293" w:top="1500" w:bottom="1480" w:left="1520" w:right="940"/>
        </w:sectPr>
      </w:pPr>
    </w:p>
    <w:p>
      <w:pPr>
        <w:pStyle w:val="BodyText"/>
        <w:rPr>
          <w:sz w:val="16"/>
        </w:rPr>
      </w:pPr>
    </w:p>
    <w:p>
      <w:pPr>
        <w:pStyle w:val="Heading2"/>
        <w:numPr>
          <w:ilvl w:val="0"/>
          <w:numId w:val="6"/>
        </w:numPr>
        <w:tabs>
          <w:tab w:pos="1835" w:val="left" w:leader="none"/>
          <w:tab w:pos="1836" w:val="left" w:leader="none"/>
        </w:tabs>
        <w:spacing w:line="240" w:lineRule="auto" w:before="93" w:after="0"/>
        <w:ind w:left="1835" w:right="0" w:hanging="721"/>
        <w:jc w:val="left"/>
      </w:pPr>
      <w:bookmarkStart w:name="_TOC_250004" w:id="24"/>
      <w:bookmarkEnd w:id="24"/>
      <w:r>
        <w:rPr/>
        <w:t>OPERACIONALIZACIÓN DE VARIABLES</w:t>
      </w:r>
    </w:p>
    <w:p>
      <w:pPr>
        <w:pStyle w:val="BodyText"/>
        <w:rPr>
          <w:b/>
          <w:sz w:val="26"/>
        </w:rPr>
      </w:pPr>
    </w:p>
    <w:p>
      <w:pPr>
        <w:pStyle w:val="BodyText"/>
        <w:rPr>
          <w:b/>
          <w:sz w:val="26"/>
        </w:rPr>
      </w:pPr>
    </w:p>
    <w:p>
      <w:pPr>
        <w:pStyle w:val="BodyText"/>
        <w:spacing w:before="11"/>
        <w:rPr>
          <w:b/>
          <w:sz w:val="28"/>
        </w:rPr>
      </w:pPr>
    </w:p>
    <w:p>
      <w:pPr>
        <w:pStyle w:val="ListParagraph"/>
        <w:numPr>
          <w:ilvl w:val="0"/>
          <w:numId w:val="16"/>
        </w:numPr>
        <w:tabs>
          <w:tab w:pos="1476" w:val="left" w:leader="none"/>
        </w:tabs>
        <w:spacing w:line="360" w:lineRule="auto" w:before="0" w:after="0"/>
        <w:ind w:left="1475" w:right="1096" w:hanging="360"/>
        <w:jc w:val="both"/>
        <w:rPr>
          <w:sz w:val="24"/>
        </w:rPr>
      </w:pPr>
      <w:r>
        <w:rPr>
          <w:b/>
          <w:i/>
          <w:sz w:val="24"/>
        </w:rPr>
        <w:t>Máximo esfuerzo a la compresión</w:t>
      </w:r>
      <w:r>
        <w:rPr>
          <w:sz w:val="24"/>
        </w:rPr>
        <w:t>: máximo esfuerzo de compresión soportado por la espuma, antes de iniciarse </w:t>
      </w:r>
      <w:r>
        <w:rPr>
          <w:spacing w:val="-3"/>
          <w:sz w:val="24"/>
        </w:rPr>
        <w:t>la </w:t>
      </w:r>
      <w:r>
        <w:rPr>
          <w:sz w:val="24"/>
        </w:rPr>
        <w:t>fase de absorción de energía. Variable cuantitativa, unidades: MPa (mega pascales).</w:t>
      </w:r>
    </w:p>
    <w:p>
      <w:pPr>
        <w:pStyle w:val="BodyText"/>
        <w:rPr>
          <w:sz w:val="26"/>
        </w:rPr>
      </w:pPr>
    </w:p>
    <w:p>
      <w:pPr>
        <w:pStyle w:val="BodyText"/>
        <w:spacing w:before="10"/>
        <w:rPr>
          <w:sz w:val="37"/>
        </w:rPr>
      </w:pPr>
    </w:p>
    <w:p>
      <w:pPr>
        <w:pStyle w:val="ListParagraph"/>
        <w:numPr>
          <w:ilvl w:val="0"/>
          <w:numId w:val="16"/>
        </w:numPr>
        <w:tabs>
          <w:tab w:pos="1476" w:val="left" w:leader="none"/>
        </w:tabs>
        <w:spacing w:line="360" w:lineRule="auto" w:before="1" w:after="0"/>
        <w:ind w:left="1475" w:right="819" w:hanging="360"/>
        <w:jc w:val="both"/>
        <w:rPr>
          <w:sz w:val="24"/>
        </w:rPr>
      </w:pPr>
      <w:r>
        <w:rPr>
          <w:b/>
          <w:i/>
          <w:sz w:val="24"/>
        </w:rPr>
        <w:t>Esfuerzo en absorción</w:t>
      </w:r>
      <w:r>
        <w:rPr>
          <w:sz w:val="24"/>
        </w:rPr>
        <w:t>: esfuerzo promedio de compresión experimentado por la espuma luego de alcanzar el máximo esfuerzo</w:t>
      </w:r>
      <w:r>
        <w:rPr>
          <w:spacing w:val="-30"/>
          <w:sz w:val="24"/>
        </w:rPr>
        <w:t> </w:t>
      </w:r>
      <w:r>
        <w:rPr>
          <w:sz w:val="24"/>
        </w:rPr>
        <w:t>a la compresión. Variable cuantitativa, unidades:</w:t>
      </w:r>
      <w:r>
        <w:rPr>
          <w:spacing w:val="-6"/>
          <w:sz w:val="24"/>
        </w:rPr>
        <w:t> </w:t>
      </w:r>
      <w:r>
        <w:rPr>
          <w:sz w:val="24"/>
        </w:rPr>
        <w:t>MPa.</w:t>
      </w:r>
    </w:p>
    <w:p>
      <w:pPr>
        <w:pStyle w:val="BodyText"/>
        <w:rPr>
          <w:sz w:val="26"/>
        </w:rPr>
      </w:pPr>
    </w:p>
    <w:p>
      <w:pPr>
        <w:pStyle w:val="BodyText"/>
        <w:spacing w:before="5"/>
        <w:rPr>
          <w:sz w:val="26"/>
        </w:rPr>
      </w:pPr>
    </w:p>
    <w:p>
      <w:pPr>
        <w:pStyle w:val="ListParagraph"/>
        <w:numPr>
          <w:ilvl w:val="0"/>
          <w:numId w:val="16"/>
        </w:numPr>
        <w:tabs>
          <w:tab w:pos="1476" w:val="left" w:leader="none"/>
        </w:tabs>
        <w:spacing w:line="240" w:lineRule="auto" w:before="0" w:after="0"/>
        <w:ind w:left="1475" w:right="0" w:hanging="361"/>
        <w:jc w:val="left"/>
        <w:rPr>
          <w:sz w:val="24"/>
        </w:rPr>
      </w:pPr>
      <w:r>
        <w:rPr>
          <w:b/>
          <w:i/>
          <w:sz w:val="24"/>
        </w:rPr>
        <w:t>Tenacidad de la espuma</w:t>
      </w:r>
      <w:r>
        <w:rPr>
          <w:sz w:val="24"/>
        </w:rPr>
        <w:t>: es la capacidad de absorción de energía</w:t>
      </w:r>
      <w:r>
        <w:rPr>
          <w:spacing w:val="-28"/>
          <w:sz w:val="24"/>
        </w:rPr>
        <w:t> </w:t>
      </w:r>
      <w:r>
        <w:rPr>
          <w:sz w:val="24"/>
        </w:rPr>
        <w:t>de</w:t>
      </w:r>
    </w:p>
    <w:p>
      <w:pPr>
        <w:pStyle w:val="BodyText"/>
        <w:rPr>
          <w:sz w:val="26"/>
        </w:rPr>
      </w:pPr>
    </w:p>
    <w:p>
      <w:pPr>
        <w:pStyle w:val="BodyText"/>
        <w:spacing w:line="360" w:lineRule="auto" w:before="165"/>
        <w:ind w:left="1475" w:right="653"/>
        <w:jc w:val="both"/>
      </w:pPr>
      <w:r>
        <w:rPr/>
        <w:t>la espuma, obtenida a partir del trabajo de absorción realizado durante el ensayo de compresión al que es sometida. Variable cuantitativa, unidades: J/m</w:t>
      </w:r>
      <w:r>
        <w:rPr>
          <w:vertAlign w:val="superscript"/>
        </w:rPr>
        <w:t>3</w:t>
      </w:r>
      <w:r>
        <w:rPr>
          <w:vertAlign w:val="baseline"/>
        </w:rPr>
        <w:t> (joule por metro cubico).</w:t>
      </w:r>
    </w:p>
    <w:p>
      <w:pPr>
        <w:pStyle w:val="BodyText"/>
        <w:rPr>
          <w:sz w:val="30"/>
        </w:rPr>
      </w:pPr>
    </w:p>
    <w:p>
      <w:pPr>
        <w:pStyle w:val="BodyText"/>
        <w:spacing w:before="7"/>
        <w:rPr>
          <w:sz w:val="30"/>
        </w:rPr>
      </w:pPr>
    </w:p>
    <w:p>
      <w:pPr>
        <w:pStyle w:val="ListParagraph"/>
        <w:numPr>
          <w:ilvl w:val="0"/>
          <w:numId w:val="16"/>
        </w:numPr>
        <w:tabs>
          <w:tab w:pos="1476" w:val="left" w:leader="none"/>
        </w:tabs>
        <w:spacing w:line="360" w:lineRule="auto" w:before="0" w:after="0"/>
        <w:ind w:left="1475" w:right="900" w:hanging="360"/>
        <w:jc w:val="both"/>
        <w:rPr>
          <w:sz w:val="24"/>
        </w:rPr>
      </w:pPr>
      <w:r>
        <w:rPr>
          <w:b/>
          <w:i/>
          <w:sz w:val="24"/>
        </w:rPr>
        <w:t>Deformación de densificación</w:t>
      </w:r>
      <w:r>
        <w:rPr>
          <w:sz w:val="24"/>
        </w:rPr>
        <w:t>: deformación experimentada por la espuma al término del trabajo de absorción de energía. Variable cuantitativa, unidades: adimensional (expresada como % referido a</w:t>
      </w:r>
      <w:r>
        <w:rPr>
          <w:spacing w:val="-30"/>
          <w:sz w:val="24"/>
        </w:rPr>
        <w:t> </w:t>
      </w:r>
      <w:r>
        <w:rPr>
          <w:sz w:val="24"/>
        </w:rPr>
        <w:t>la dimensión original de </w:t>
      </w:r>
      <w:r>
        <w:rPr>
          <w:spacing w:val="-3"/>
          <w:sz w:val="24"/>
        </w:rPr>
        <w:t>la</w:t>
      </w:r>
      <w:r>
        <w:rPr>
          <w:sz w:val="24"/>
        </w:rPr>
        <w:t> espuma).</w:t>
      </w:r>
    </w:p>
    <w:p>
      <w:pPr>
        <w:spacing w:after="0" w:line="360" w:lineRule="auto"/>
        <w:jc w:val="both"/>
        <w:rPr>
          <w:sz w:val="24"/>
        </w:rPr>
        <w:sectPr>
          <w:pgSz w:w="12240" w:h="15840"/>
          <w:pgMar w:header="0" w:footer="1293" w:top="1500" w:bottom="1480" w:left="1520" w:right="940"/>
        </w:sectPr>
      </w:pPr>
    </w:p>
    <w:p>
      <w:pPr>
        <w:pStyle w:val="BodyText"/>
        <w:rPr>
          <w:sz w:val="16"/>
        </w:rPr>
      </w:pPr>
    </w:p>
    <w:p>
      <w:pPr>
        <w:pStyle w:val="Heading2"/>
        <w:numPr>
          <w:ilvl w:val="0"/>
          <w:numId w:val="6"/>
        </w:numPr>
        <w:tabs>
          <w:tab w:pos="1835" w:val="left" w:leader="none"/>
          <w:tab w:pos="1836" w:val="left" w:leader="none"/>
        </w:tabs>
        <w:spacing w:line="240" w:lineRule="auto" w:before="93" w:after="0"/>
        <w:ind w:left="1835" w:right="0" w:hanging="721"/>
        <w:jc w:val="left"/>
      </w:pPr>
      <w:bookmarkStart w:name="_TOC_250003" w:id="25"/>
      <w:r>
        <w:rPr/>
        <w:t>ESTRATEGIA</w:t>
      </w:r>
      <w:r>
        <w:rPr>
          <w:spacing w:val="-12"/>
        </w:rPr>
        <w:t> </w:t>
      </w:r>
      <w:bookmarkEnd w:id="25"/>
      <w:r>
        <w:rPr/>
        <w:t>METODOLÓGICA</w:t>
      </w:r>
    </w:p>
    <w:p>
      <w:pPr>
        <w:pStyle w:val="BodyText"/>
        <w:rPr>
          <w:b/>
          <w:sz w:val="26"/>
        </w:rPr>
      </w:pPr>
    </w:p>
    <w:p>
      <w:pPr>
        <w:pStyle w:val="BodyText"/>
        <w:spacing w:before="4"/>
        <w:rPr>
          <w:b/>
          <w:sz w:val="26"/>
        </w:rPr>
      </w:pPr>
    </w:p>
    <w:p>
      <w:pPr>
        <w:pStyle w:val="BodyText"/>
        <w:spacing w:line="360" w:lineRule="auto"/>
        <w:ind w:left="755" w:right="749" w:firstLine="360"/>
        <w:jc w:val="both"/>
      </w:pPr>
      <w:r>
        <w:rPr/>
        <w:t>La investigación desarrollada utiliza </w:t>
      </w:r>
      <w:r>
        <w:rPr>
          <w:spacing w:val="-3"/>
        </w:rPr>
        <w:t>parte </w:t>
      </w:r>
      <w:r>
        <w:rPr/>
        <w:t>de los resultados obtenidos en la investigación básica-teórica correspondiente a este tipo de materiales y que constituyó </w:t>
      </w:r>
      <w:r>
        <w:rPr>
          <w:spacing w:val="6"/>
        </w:rPr>
        <w:t>la </w:t>
      </w:r>
      <w:r>
        <w:rPr/>
        <w:t>Tesis de Maestría en Ciencias – Ingeniería que sustentó el autor de este trabajo, y que lleva por título “Síntesis y propiedades bajo compresión de espumas sintácticas de aluminio (Al-A206/SiC) y magnesio (Mg-AZ91/SiC)”.</w:t>
      </w:r>
    </w:p>
    <w:p>
      <w:pPr>
        <w:pStyle w:val="BodyText"/>
        <w:rPr>
          <w:sz w:val="26"/>
        </w:rPr>
      </w:pPr>
    </w:p>
    <w:p>
      <w:pPr>
        <w:pStyle w:val="BodyText"/>
        <w:spacing w:before="11"/>
        <w:rPr>
          <w:sz w:val="37"/>
        </w:rPr>
      </w:pPr>
    </w:p>
    <w:p>
      <w:pPr>
        <w:pStyle w:val="BodyText"/>
        <w:spacing w:line="360" w:lineRule="auto"/>
        <w:ind w:left="755" w:right="748" w:firstLine="360"/>
        <w:jc w:val="both"/>
      </w:pPr>
      <w:r>
        <w:rPr/>
        <w:t>A partir de los hallazgos de la tesis antes mencionada y los parámetros utilizados en la síntesis de estos materiales se ha efectuado un nuevo análisis e interpretación de los datos obtenidos, necesarios para alcanzar el objetivo propuesto en la presente investigación, el cual consiste en la evaluación comparativa de las espumas sintácticas sintetizadas para diferentes combinaciones de matrices metálicas y partículas huecas de refuerzo (micro-balones).</w:t>
      </w:r>
    </w:p>
    <w:p>
      <w:pPr>
        <w:spacing w:after="0" w:line="360" w:lineRule="auto"/>
        <w:jc w:val="both"/>
        <w:sectPr>
          <w:pgSz w:w="12240" w:h="15840"/>
          <w:pgMar w:header="0" w:footer="1293" w:top="1500" w:bottom="1480" w:left="1520" w:right="940"/>
        </w:sectPr>
      </w:pPr>
    </w:p>
    <w:p>
      <w:pPr>
        <w:pStyle w:val="BodyText"/>
        <w:rPr>
          <w:sz w:val="16"/>
        </w:rPr>
      </w:pPr>
    </w:p>
    <w:p>
      <w:pPr>
        <w:pStyle w:val="Heading2"/>
        <w:numPr>
          <w:ilvl w:val="0"/>
          <w:numId w:val="6"/>
        </w:numPr>
        <w:tabs>
          <w:tab w:pos="1835" w:val="left" w:leader="none"/>
          <w:tab w:pos="1836" w:val="left" w:leader="none"/>
        </w:tabs>
        <w:spacing w:line="240" w:lineRule="auto" w:before="93" w:after="0"/>
        <w:ind w:left="1835" w:right="0" w:hanging="721"/>
        <w:jc w:val="left"/>
      </w:pPr>
      <w:bookmarkStart w:name="_TOC_250002" w:id="26"/>
      <w:r>
        <w:rPr/>
        <w:t>PROCEDIMIENTO</w:t>
      </w:r>
      <w:r>
        <w:rPr>
          <w:spacing w:val="-1"/>
        </w:rPr>
        <w:t> </w:t>
      </w:r>
      <w:bookmarkEnd w:id="26"/>
      <w:r>
        <w:rPr/>
        <w:t>EXPERIMENTAL</w:t>
      </w:r>
    </w:p>
    <w:p>
      <w:pPr>
        <w:pStyle w:val="BodyText"/>
        <w:rPr>
          <w:b/>
          <w:sz w:val="26"/>
        </w:rPr>
      </w:pPr>
    </w:p>
    <w:p>
      <w:pPr>
        <w:pStyle w:val="BodyText"/>
        <w:rPr>
          <w:b/>
          <w:sz w:val="26"/>
        </w:rPr>
      </w:pPr>
    </w:p>
    <w:p>
      <w:pPr>
        <w:pStyle w:val="BodyText"/>
        <w:spacing w:before="4"/>
        <w:rPr>
          <w:b/>
          <w:sz w:val="20"/>
        </w:rPr>
      </w:pPr>
    </w:p>
    <w:p>
      <w:pPr>
        <w:pStyle w:val="BodyText"/>
        <w:spacing w:line="360" w:lineRule="auto"/>
        <w:ind w:left="755" w:right="990" w:firstLine="400"/>
        <w:jc w:val="both"/>
      </w:pPr>
      <w:r>
        <w:rPr/>
        <w:t>Para la fase experimental del presente estudio, fueron sintetizadas espumas sintácticas compuestas por una aleación de aluminio Al-A206 o una aleación de magnesio Mg-AZ91, ambas reforzadas con aproximadamente 50 %v de esferas huecas de SiC (con 1 mm de diámetro nominal, 70 micrómetros de espesor de pared y una densidad aparente de 0,7 g/cm3 (cortesía de Deep Springs Tecnology); mediante la técnica de infiltración bajo presión inferior a la atmosférica (negativa). Las composiciones nominales de las aleaciones utilizadas son presentadas en la Tabla I.</w:t>
      </w:r>
    </w:p>
    <w:p>
      <w:pPr>
        <w:pStyle w:val="BodyText"/>
        <w:rPr>
          <w:sz w:val="26"/>
        </w:rPr>
      </w:pPr>
    </w:p>
    <w:p>
      <w:pPr>
        <w:pStyle w:val="BodyText"/>
        <w:spacing w:line="357" w:lineRule="auto" w:before="222"/>
        <w:ind w:left="755" w:right="890" w:firstLine="400"/>
        <w:jc w:val="both"/>
      </w:pPr>
      <w:r>
        <w:rPr/>
        <w:t>El método de infiltración utilizado para sintetizar las espumas sintácticas ha sido descrito en detalle en publicaciones especializadas [38]. En lo que concierne al presente estudio, fue utilizado un tubo de acero de 12,7 mm x 12,7</w:t>
      </w:r>
      <w:r>
        <w:rPr>
          <w:spacing w:val="-6"/>
        </w:rPr>
        <w:t> </w:t>
      </w:r>
      <w:r>
        <w:rPr/>
        <w:t>mm</w:t>
      </w:r>
      <w:r>
        <w:rPr>
          <w:spacing w:val="-1"/>
        </w:rPr>
        <w:t> </w:t>
      </w:r>
      <w:r>
        <w:rPr/>
        <w:t>con</w:t>
      </w:r>
      <w:r>
        <w:rPr>
          <w:spacing w:val="-4"/>
        </w:rPr>
        <w:t> </w:t>
      </w:r>
      <w:r>
        <w:rPr/>
        <w:t>un</w:t>
      </w:r>
      <w:r>
        <w:rPr>
          <w:spacing w:val="-4"/>
        </w:rPr>
        <w:t> </w:t>
      </w:r>
      <w:r>
        <w:rPr/>
        <w:t>extremo</w:t>
      </w:r>
      <w:r>
        <w:rPr>
          <w:spacing w:val="-2"/>
        </w:rPr>
        <w:t> </w:t>
      </w:r>
      <w:r>
        <w:rPr/>
        <w:t>soldado,</w:t>
      </w:r>
      <w:r>
        <w:rPr>
          <w:spacing w:val="-5"/>
        </w:rPr>
        <w:t> </w:t>
      </w:r>
      <w:r>
        <w:rPr/>
        <w:t>dentro</w:t>
      </w:r>
      <w:r>
        <w:rPr>
          <w:spacing w:val="-4"/>
        </w:rPr>
        <w:t> </w:t>
      </w:r>
      <w:r>
        <w:rPr/>
        <w:t>del</w:t>
      </w:r>
      <w:r>
        <w:rPr>
          <w:spacing w:val="-8"/>
        </w:rPr>
        <w:t> </w:t>
      </w:r>
      <w:r>
        <w:rPr/>
        <w:t>cual</w:t>
      </w:r>
      <w:r>
        <w:rPr>
          <w:spacing w:val="-7"/>
        </w:rPr>
        <w:t> </w:t>
      </w:r>
      <w:r>
        <w:rPr/>
        <w:t>fueron</w:t>
      </w:r>
      <w:r>
        <w:rPr>
          <w:spacing w:val="-4"/>
        </w:rPr>
        <w:t> </w:t>
      </w:r>
      <w:r>
        <w:rPr/>
        <w:t>vertidas</w:t>
      </w:r>
      <w:r>
        <w:rPr>
          <w:spacing w:val="-3"/>
        </w:rPr>
        <w:t> </w:t>
      </w:r>
      <w:r>
        <w:rPr/>
        <w:t>las</w:t>
      </w:r>
      <w:r>
        <w:rPr>
          <w:spacing w:val="-3"/>
        </w:rPr>
        <w:t> </w:t>
      </w:r>
      <w:r>
        <w:rPr/>
        <w:t>esferas huecas</w:t>
      </w:r>
      <w:r>
        <w:rPr>
          <w:spacing w:val="-16"/>
        </w:rPr>
        <w:t> </w:t>
      </w:r>
      <w:r>
        <w:rPr/>
        <w:t>de</w:t>
      </w:r>
      <w:r>
        <w:rPr>
          <w:spacing w:val="-17"/>
        </w:rPr>
        <w:t> </w:t>
      </w:r>
      <w:r>
        <w:rPr/>
        <w:t>SiC</w:t>
      </w:r>
      <w:r>
        <w:rPr>
          <w:spacing w:val="-18"/>
        </w:rPr>
        <w:t> </w:t>
      </w:r>
      <w:r>
        <w:rPr/>
        <w:t>hasta</w:t>
      </w:r>
      <w:r>
        <w:rPr>
          <w:spacing w:val="-15"/>
        </w:rPr>
        <w:t> </w:t>
      </w:r>
      <w:r>
        <w:rPr/>
        <w:t>una</w:t>
      </w:r>
      <w:r>
        <w:rPr>
          <w:spacing w:val="-14"/>
        </w:rPr>
        <w:t> </w:t>
      </w:r>
      <w:r>
        <w:rPr/>
        <w:t>altura</w:t>
      </w:r>
      <w:r>
        <w:rPr>
          <w:spacing w:val="-18"/>
        </w:rPr>
        <w:t> </w:t>
      </w:r>
      <w:r>
        <w:rPr/>
        <w:t>de</w:t>
      </w:r>
      <w:r>
        <w:rPr>
          <w:spacing w:val="-17"/>
        </w:rPr>
        <w:t> </w:t>
      </w:r>
      <w:r>
        <w:rPr/>
        <w:t>35-50</w:t>
      </w:r>
      <w:r>
        <w:rPr>
          <w:spacing w:val="-19"/>
        </w:rPr>
        <w:t> </w:t>
      </w:r>
      <w:r>
        <w:rPr/>
        <w:t>mm,</w:t>
      </w:r>
      <w:r>
        <w:rPr>
          <w:spacing w:val="-17"/>
        </w:rPr>
        <w:t> </w:t>
      </w:r>
      <w:r>
        <w:rPr/>
        <w:t>las</w:t>
      </w:r>
      <w:r>
        <w:rPr>
          <w:spacing w:val="-16"/>
        </w:rPr>
        <w:t> </w:t>
      </w:r>
      <w:r>
        <w:rPr/>
        <w:t>cuales</w:t>
      </w:r>
      <w:r>
        <w:rPr>
          <w:spacing w:val="-19"/>
        </w:rPr>
        <w:t> </w:t>
      </w:r>
      <w:r>
        <w:rPr/>
        <w:t>fueron</w:t>
      </w:r>
      <w:r>
        <w:rPr>
          <w:spacing w:val="-16"/>
        </w:rPr>
        <w:t> </w:t>
      </w:r>
      <w:r>
        <w:rPr/>
        <w:t>cubiertas</w:t>
      </w:r>
      <w:r>
        <w:rPr>
          <w:spacing w:val="36"/>
        </w:rPr>
        <w:t> </w:t>
      </w:r>
      <w:r>
        <w:rPr/>
        <w:t>con </w:t>
      </w:r>
      <w:r>
        <w:rPr>
          <w:position w:val="2"/>
        </w:rPr>
        <w:t>un fieltro de zirconia (ZrO</w:t>
      </w:r>
      <w:r>
        <w:rPr>
          <w:sz w:val="16"/>
        </w:rPr>
        <w:t>2</w:t>
      </w:r>
      <w:r>
        <w:rPr>
          <w:position w:val="2"/>
        </w:rPr>
        <w:t>) de 2 mm de</w:t>
      </w:r>
      <w:r>
        <w:rPr>
          <w:spacing w:val="-12"/>
          <w:position w:val="2"/>
        </w:rPr>
        <w:t> </w:t>
      </w:r>
      <w:r>
        <w:rPr>
          <w:position w:val="2"/>
        </w:rPr>
        <w:t>espesor.</w:t>
      </w:r>
    </w:p>
    <w:p>
      <w:pPr>
        <w:pStyle w:val="BodyText"/>
        <w:rPr>
          <w:sz w:val="26"/>
        </w:rPr>
      </w:pPr>
    </w:p>
    <w:p>
      <w:pPr>
        <w:pStyle w:val="BodyText"/>
        <w:spacing w:before="9"/>
        <w:rPr>
          <w:sz w:val="26"/>
        </w:rPr>
      </w:pPr>
    </w:p>
    <w:p>
      <w:pPr>
        <w:pStyle w:val="BodyText"/>
        <w:spacing w:line="357" w:lineRule="auto"/>
        <w:ind w:left="755" w:right="889" w:firstLine="336"/>
        <w:jc w:val="both"/>
      </w:pPr>
      <w:r>
        <w:rPr/>
        <w:t>Finalmente</w:t>
      </w:r>
      <w:r>
        <w:rPr>
          <w:spacing w:val="-10"/>
        </w:rPr>
        <w:t> </w:t>
      </w:r>
      <w:r>
        <w:rPr/>
        <w:t>el</w:t>
      </w:r>
      <w:r>
        <w:rPr>
          <w:spacing w:val="-13"/>
        </w:rPr>
        <w:t> </w:t>
      </w:r>
      <w:r>
        <w:rPr/>
        <w:t>ensamble</w:t>
      </w:r>
      <w:r>
        <w:rPr>
          <w:spacing w:val="-11"/>
        </w:rPr>
        <w:t> </w:t>
      </w:r>
      <w:r>
        <w:rPr/>
        <w:t>fue</w:t>
      </w:r>
      <w:r>
        <w:rPr>
          <w:spacing w:val="-9"/>
        </w:rPr>
        <w:t> </w:t>
      </w:r>
      <w:r>
        <w:rPr/>
        <w:t>completado</w:t>
      </w:r>
      <w:r>
        <w:rPr>
          <w:spacing w:val="-10"/>
        </w:rPr>
        <w:t> </w:t>
      </w:r>
      <w:r>
        <w:rPr/>
        <w:t>colocando</w:t>
      </w:r>
      <w:r>
        <w:rPr>
          <w:spacing w:val="-14"/>
        </w:rPr>
        <w:t> </w:t>
      </w:r>
      <w:r>
        <w:rPr/>
        <w:t>un</w:t>
      </w:r>
      <w:r>
        <w:rPr>
          <w:spacing w:val="-11"/>
        </w:rPr>
        <w:t> </w:t>
      </w:r>
      <w:r>
        <w:rPr/>
        <w:t>pequeño</w:t>
      </w:r>
      <w:r>
        <w:rPr>
          <w:spacing w:val="-9"/>
        </w:rPr>
        <w:t> </w:t>
      </w:r>
      <w:r>
        <w:rPr/>
        <w:t>lingote</w:t>
      </w:r>
      <w:r>
        <w:rPr>
          <w:spacing w:val="-10"/>
        </w:rPr>
        <w:t> </w:t>
      </w:r>
      <w:r>
        <w:rPr/>
        <w:t>de una de las aleaciones utilizadas (Al-A206 o Mg-AZ91) en el interior del tubo y sobre la parte superior del fieltro de zirconia. Este fieltro fue utilizado con dos fines: como una barrera para evitar la reacción entre la masa fundida de aluminio o de magnesio y las esferas antes de la infiltración </w:t>
      </w:r>
      <w:r>
        <w:rPr>
          <w:spacing w:val="-3"/>
        </w:rPr>
        <w:t>y, </w:t>
      </w:r>
      <w:r>
        <w:rPr/>
        <w:t>como un filtro para</w:t>
      </w:r>
      <w:r>
        <w:rPr>
          <w:spacing w:val="-3"/>
        </w:rPr>
        <w:t> </w:t>
      </w:r>
      <w:r>
        <w:rPr/>
        <w:t>retener</w:t>
      </w:r>
      <w:r>
        <w:rPr>
          <w:spacing w:val="-3"/>
        </w:rPr>
        <w:t> </w:t>
      </w:r>
      <w:r>
        <w:rPr/>
        <w:t>la</w:t>
      </w:r>
      <w:r>
        <w:rPr>
          <w:spacing w:val="-3"/>
        </w:rPr>
        <w:t> </w:t>
      </w:r>
      <w:r>
        <w:rPr/>
        <w:t>capa</w:t>
      </w:r>
      <w:r>
        <w:rPr>
          <w:spacing w:val="-5"/>
        </w:rPr>
        <w:t> </w:t>
      </w:r>
      <w:r>
        <w:rPr/>
        <w:t>de</w:t>
      </w:r>
      <w:r>
        <w:rPr>
          <w:spacing w:val="-4"/>
        </w:rPr>
        <w:t> </w:t>
      </w:r>
      <w:r>
        <w:rPr/>
        <w:t>óxidos</w:t>
      </w:r>
      <w:r>
        <w:rPr>
          <w:spacing w:val="-3"/>
        </w:rPr>
        <w:t> </w:t>
      </w:r>
      <w:r>
        <w:rPr/>
        <w:t>presente</w:t>
      </w:r>
      <w:r>
        <w:rPr>
          <w:spacing w:val="-5"/>
        </w:rPr>
        <w:t> </w:t>
      </w:r>
      <w:r>
        <w:rPr/>
        <w:t>en</w:t>
      </w:r>
      <w:r>
        <w:rPr>
          <w:spacing w:val="-3"/>
        </w:rPr>
        <w:t> </w:t>
      </w:r>
      <w:r>
        <w:rPr/>
        <w:t>la</w:t>
      </w:r>
      <w:r>
        <w:rPr>
          <w:spacing w:val="-4"/>
        </w:rPr>
        <w:t> </w:t>
      </w:r>
      <w:r>
        <w:rPr/>
        <w:t>masa</w:t>
      </w:r>
      <w:r>
        <w:rPr>
          <w:spacing w:val="-7"/>
        </w:rPr>
        <w:t> </w:t>
      </w:r>
      <w:r>
        <w:rPr/>
        <w:t>fundida</w:t>
      </w:r>
      <w:r>
        <w:rPr>
          <w:spacing w:val="-4"/>
        </w:rPr>
        <w:t> </w:t>
      </w:r>
      <w:r>
        <w:rPr/>
        <w:t>líquida,</w:t>
      </w:r>
      <w:r>
        <w:rPr>
          <w:spacing w:val="-2"/>
        </w:rPr>
        <w:t> </w:t>
      </w:r>
      <w:r>
        <w:rPr/>
        <w:t>tal</w:t>
      </w:r>
      <w:r>
        <w:rPr>
          <w:spacing w:val="-3"/>
        </w:rPr>
        <w:t> </w:t>
      </w:r>
      <w:r>
        <w:rPr/>
        <w:t>como se muestra en la Figura 3.</w:t>
      </w:r>
    </w:p>
    <w:p>
      <w:pPr>
        <w:pStyle w:val="BodyText"/>
        <w:rPr>
          <w:sz w:val="26"/>
        </w:rPr>
      </w:pPr>
    </w:p>
    <w:p>
      <w:pPr>
        <w:pStyle w:val="BodyText"/>
        <w:spacing w:before="9"/>
        <w:rPr>
          <w:sz w:val="26"/>
        </w:rPr>
      </w:pPr>
    </w:p>
    <w:p>
      <w:pPr>
        <w:pStyle w:val="BodyText"/>
        <w:ind w:left="1091"/>
      </w:pPr>
      <w:r>
        <w:rPr/>
        <w:t>A continuación el conjunto fue calentado en una cámara de cuarzo bajo</w:t>
      </w:r>
    </w:p>
    <w:p>
      <w:pPr>
        <w:spacing w:after="0"/>
        <w:sectPr>
          <w:pgSz w:w="12240" w:h="15840"/>
          <w:pgMar w:header="0" w:footer="1293" w:top="1500" w:bottom="1480" w:left="1520" w:right="940"/>
        </w:sectPr>
      </w:pPr>
    </w:p>
    <w:p>
      <w:pPr>
        <w:pStyle w:val="BodyText"/>
        <w:spacing w:line="357" w:lineRule="auto" w:before="79"/>
        <w:ind w:left="755" w:right="892"/>
        <w:jc w:val="both"/>
      </w:pPr>
      <w:r>
        <w:rPr/>
        <w:t>vacío a 750 °C en el caso de Al-A206 y a 650 ºC para el Mg- AZ91, manteniéndose a esta temperatura durante 60 minutos, estimándose que</w:t>
      </w:r>
      <w:r>
        <w:rPr>
          <w:spacing w:val="-40"/>
        </w:rPr>
        <w:t> </w:t>
      </w:r>
      <w:r>
        <w:rPr/>
        <w:t>en ese</w:t>
      </w:r>
      <w:r>
        <w:rPr>
          <w:spacing w:val="-17"/>
        </w:rPr>
        <w:t> </w:t>
      </w:r>
      <w:r>
        <w:rPr/>
        <w:t>momento</w:t>
      </w:r>
      <w:r>
        <w:rPr>
          <w:spacing w:val="-16"/>
        </w:rPr>
        <w:t> </w:t>
      </w:r>
      <w:r>
        <w:rPr/>
        <w:t>la</w:t>
      </w:r>
      <w:r>
        <w:rPr>
          <w:spacing w:val="-16"/>
        </w:rPr>
        <w:t> </w:t>
      </w:r>
      <w:r>
        <w:rPr/>
        <w:t>aleación</w:t>
      </w:r>
      <w:r>
        <w:rPr>
          <w:spacing w:val="-16"/>
        </w:rPr>
        <w:t> </w:t>
      </w:r>
      <w:r>
        <w:rPr/>
        <w:t>se</w:t>
      </w:r>
      <w:r>
        <w:rPr>
          <w:spacing w:val="-19"/>
        </w:rPr>
        <w:t> </w:t>
      </w:r>
      <w:r>
        <w:rPr/>
        <w:t>funde</w:t>
      </w:r>
      <w:r>
        <w:rPr>
          <w:spacing w:val="-18"/>
        </w:rPr>
        <w:t> </w:t>
      </w:r>
      <w:r>
        <w:rPr/>
        <w:t>por</w:t>
      </w:r>
      <w:r>
        <w:rPr>
          <w:spacing w:val="-18"/>
        </w:rPr>
        <w:t> </w:t>
      </w:r>
      <w:r>
        <w:rPr/>
        <w:t>completo</w:t>
      </w:r>
      <w:r>
        <w:rPr>
          <w:spacing w:val="-16"/>
        </w:rPr>
        <w:t> </w:t>
      </w:r>
      <w:r>
        <w:rPr/>
        <w:t>y</w:t>
      </w:r>
      <w:r>
        <w:rPr>
          <w:spacing w:val="-20"/>
        </w:rPr>
        <w:t> </w:t>
      </w:r>
      <w:r>
        <w:rPr/>
        <w:t>ha</w:t>
      </w:r>
      <w:r>
        <w:rPr>
          <w:spacing w:val="-16"/>
        </w:rPr>
        <w:t> </w:t>
      </w:r>
      <w:r>
        <w:rPr/>
        <w:t>creado</w:t>
      </w:r>
      <w:r>
        <w:rPr>
          <w:spacing w:val="-16"/>
        </w:rPr>
        <w:t> </w:t>
      </w:r>
      <w:r>
        <w:rPr/>
        <w:t>un</w:t>
      </w:r>
      <w:r>
        <w:rPr>
          <w:spacing w:val="-16"/>
        </w:rPr>
        <w:t> </w:t>
      </w:r>
      <w:r>
        <w:rPr/>
        <w:t>sello</w:t>
      </w:r>
      <w:r>
        <w:rPr>
          <w:spacing w:val="-19"/>
        </w:rPr>
        <w:t> </w:t>
      </w:r>
      <w:r>
        <w:rPr/>
        <w:t>uniforme a lo largo del perímetro interior del tubo de</w:t>
      </w:r>
      <w:r>
        <w:rPr>
          <w:spacing w:val="-16"/>
        </w:rPr>
        <w:t> </w:t>
      </w:r>
      <w:r>
        <w:rPr/>
        <w:t>acero.</w:t>
      </w:r>
    </w:p>
    <w:p>
      <w:pPr>
        <w:pStyle w:val="BodyText"/>
        <w:rPr>
          <w:sz w:val="26"/>
        </w:rPr>
      </w:pPr>
    </w:p>
    <w:p>
      <w:pPr>
        <w:pStyle w:val="BodyText"/>
        <w:spacing w:before="2"/>
        <w:rPr>
          <w:sz w:val="38"/>
        </w:rPr>
      </w:pPr>
    </w:p>
    <w:p>
      <w:pPr>
        <w:pStyle w:val="BodyText"/>
        <w:spacing w:line="357" w:lineRule="auto"/>
        <w:ind w:left="755" w:right="890" w:firstLine="324"/>
        <w:jc w:val="both"/>
      </w:pPr>
      <w:r>
        <w:rPr/>
        <w:t>Seguidamente fue introducido rápidamente gas argón en la cámara de cuarzo caliente hasta que se alcanzó una presión de -0,5 bar, forzando de ese modo la aleación fundida a través de los espacios vacíos entre las esferas huecas.</w:t>
      </w:r>
    </w:p>
    <w:p>
      <w:pPr>
        <w:pStyle w:val="BodyText"/>
        <w:rPr>
          <w:sz w:val="26"/>
        </w:rPr>
      </w:pPr>
    </w:p>
    <w:p>
      <w:pPr>
        <w:pStyle w:val="BodyText"/>
        <w:spacing w:line="357" w:lineRule="auto" w:before="169"/>
        <w:ind w:left="755" w:right="1079" w:firstLine="336"/>
      </w:pPr>
      <w:r>
        <w:rPr/>
        <w:t>La cámara de cuarzo que contiene la muestra fue mantenida en el horno tubular a una presión de -0,5 bar durante 10 minutos.</w:t>
      </w:r>
    </w:p>
    <w:p>
      <w:pPr>
        <w:pStyle w:val="BodyText"/>
        <w:rPr>
          <w:sz w:val="26"/>
        </w:rPr>
      </w:pPr>
    </w:p>
    <w:p>
      <w:pPr>
        <w:pStyle w:val="BodyText"/>
        <w:spacing w:before="11"/>
        <w:rPr>
          <w:sz w:val="37"/>
        </w:rPr>
      </w:pPr>
    </w:p>
    <w:p>
      <w:pPr>
        <w:pStyle w:val="BodyText"/>
        <w:spacing w:line="357" w:lineRule="auto"/>
        <w:ind w:left="755" w:right="754" w:firstLine="324"/>
      </w:pPr>
      <w:r>
        <w:rPr/>
        <w:t>A continuación, la muestra fue retirada del horno y fue enfriada rápidamente en agua a temperatura ambiente.</w:t>
      </w:r>
    </w:p>
    <w:p>
      <w:pPr>
        <w:spacing w:after="0" w:line="357" w:lineRule="auto"/>
        <w:sectPr>
          <w:pgSz w:w="12240" w:h="15840"/>
          <w:pgMar w:header="0" w:footer="1293" w:top="1400" w:bottom="1480" w:left="1520" w:right="9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spacing w:before="94"/>
        <w:ind w:left="755" w:right="0" w:firstLine="0"/>
        <w:jc w:val="left"/>
        <w:rPr>
          <w:b/>
          <w:sz w:val="18"/>
        </w:rPr>
      </w:pPr>
      <w:r>
        <w:rPr>
          <w:b/>
          <w:sz w:val="18"/>
        </w:rPr>
        <w:t>TABLA I. Composición nominal de las matrices metálicas utilizadas.</w:t>
      </w:r>
    </w:p>
    <w:p>
      <w:pPr>
        <w:pStyle w:val="BodyText"/>
        <w:rPr>
          <w:b/>
          <w:sz w:val="20"/>
        </w:rPr>
      </w:pPr>
    </w:p>
    <w:p>
      <w:pPr>
        <w:pStyle w:val="BodyText"/>
        <w:rPr>
          <w:b/>
          <w:sz w:val="20"/>
        </w:rPr>
      </w:pPr>
    </w:p>
    <w:p>
      <w:pPr>
        <w:pStyle w:val="BodyText"/>
        <w:spacing w:before="6"/>
        <w:rPr>
          <w:b/>
          <w:sz w:val="20"/>
        </w:rPr>
      </w:pPr>
      <w:r>
        <w:rPr/>
        <w:pict>
          <v:group style="position:absolute;margin-left:138.539993pt;margin-top:13.816729pt;width:364pt;height:1.6pt;mso-position-horizontal-relative:page;mso-position-vertical-relative:paragraph;z-index:-251657216;mso-wrap-distance-left:0;mso-wrap-distance-right:0" coordorigin="2771,276" coordsize="7280,32">
            <v:line style="position:absolute" from="2771,292" to="5276,292" stroked="true" strokeweight="1.56pt" strokecolor="#000000">
              <v:stroke dashstyle="solid"/>
            </v:line>
            <v:line style="position:absolute" from="5276,292" to="5305,292" stroked="true" strokeweight="1.56pt" strokecolor="#000000">
              <v:stroke dashstyle="solid"/>
            </v:line>
            <v:line style="position:absolute" from="5305,292" to="7256,292" stroked="true" strokeweight="1.56pt" strokecolor="#000000">
              <v:stroke dashstyle="solid"/>
            </v:line>
            <v:line style="position:absolute" from="7256,292" to="7285,292" stroked="true" strokeweight="1.56pt" strokecolor="#000000">
              <v:stroke dashstyle="solid"/>
            </v:line>
            <v:line style="position:absolute" from="7285,292" to="10050,292" stroked="true" strokeweight="1.56pt" strokecolor="#000000">
              <v:stroke dashstyle="solid"/>
            </v:line>
            <w10:wrap type="topAndBottom"/>
          </v:group>
        </w:pict>
      </w:r>
    </w:p>
    <w:p>
      <w:pPr>
        <w:tabs>
          <w:tab w:pos="2565" w:val="left" w:leader="none"/>
          <w:tab w:pos="4476" w:val="left" w:leader="none"/>
        </w:tabs>
        <w:spacing w:before="19"/>
        <w:ind w:left="580" w:right="0" w:firstLine="0"/>
        <w:jc w:val="center"/>
        <w:rPr>
          <w:b/>
          <w:sz w:val="22"/>
        </w:rPr>
      </w:pPr>
      <w:r>
        <w:rPr>
          <w:b/>
          <w:position w:val="-10"/>
          <w:sz w:val="22"/>
        </w:rPr>
        <w:t>Material</w:t>
        <w:tab/>
        <w:t>Componente</w:t>
        <w:tab/>
      </w:r>
      <w:r>
        <w:rPr>
          <w:b/>
          <w:sz w:val="22"/>
        </w:rPr>
        <w:t>Composición</w:t>
      </w:r>
      <w:r>
        <w:rPr>
          <w:b/>
          <w:spacing w:val="-3"/>
          <w:sz w:val="22"/>
        </w:rPr>
        <w:t> </w:t>
      </w:r>
      <w:r>
        <w:rPr>
          <w:b/>
          <w:sz w:val="22"/>
        </w:rPr>
        <w:t>nominal</w:t>
      </w:r>
    </w:p>
    <w:p>
      <w:pPr>
        <w:tabs>
          <w:tab w:pos="5271" w:val="left" w:leader="none"/>
          <w:tab w:pos="7279" w:val="left" w:leader="none"/>
        </w:tabs>
        <w:spacing w:before="7"/>
        <w:ind w:left="0" w:right="0" w:firstLine="0"/>
        <w:jc w:val="center"/>
        <w:rPr>
          <w:b/>
          <w:sz w:val="22"/>
        </w:rPr>
      </w:pPr>
      <w:r>
        <w:rPr>
          <w:b/>
          <w:w w:val="100"/>
          <w:sz w:val="22"/>
          <w:u w:val="single"/>
        </w:rPr>
        <w:t> </w:t>
      </w:r>
      <w:r>
        <w:rPr>
          <w:b/>
          <w:sz w:val="22"/>
          <w:u w:val="single"/>
        </w:rPr>
        <w:tab/>
        <w:t>(% en</w:t>
      </w:r>
      <w:r>
        <w:rPr>
          <w:b/>
          <w:spacing w:val="6"/>
          <w:sz w:val="22"/>
          <w:u w:val="single"/>
        </w:rPr>
        <w:t> </w:t>
      </w:r>
      <w:r>
        <w:rPr>
          <w:b/>
          <w:spacing w:val="-3"/>
          <w:sz w:val="22"/>
          <w:u w:val="single"/>
        </w:rPr>
        <w:t>peso)</w:t>
        <w:tab/>
      </w:r>
    </w:p>
    <w:p>
      <w:pPr>
        <w:pStyle w:val="BodyText"/>
        <w:rPr>
          <w:b/>
          <w:sz w:val="20"/>
        </w:rPr>
      </w:pPr>
    </w:p>
    <w:p>
      <w:pPr>
        <w:pStyle w:val="BodyText"/>
        <w:spacing w:before="10"/>
        <w:rPr>
          <w:b/>
          <w:sz w:val="22"/>
        </w:rPr>
      </w:pPr>
    </w:p>
    <w:tbl>
      <w:tblPr>
        <w:tblW w:w="0" w:type="auto"/>
        <w:jc w:val="left"/>
        <w:tblInd w:w="1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5"/>
        <w:gridCol w:w="2004"/>
        <w:gridCol w:w="2750"/>
      </w:tblGrid>
      <w:tr>
        <w:trPr>
          <w:trHeight w:val="338" w:hRule="atLeast"/>
        </w:trPr>
        <w:tc>
          <w:tcPr>
            <w:tcW w:w="2525" w:type="dxa"/>
            <w:vMerge w:val="restart"/>
          </w:tcPr>
          <w:p>
            <w:pPr>
              <w:pStyle w:val="TableParagraph"/>
              <w:rPr>
                <w:rFonts w:ascii="Times New Roman"/>
                <w:sz w:val="20"/>
              </w:rPr>
            </w:pPr>
          </w:p>
        </w:tc>
        <w:tc>
          <w:tcPr>
            <w:tcW w:w="2004" w:type="dxa"/>
          </w:tcPr>
          <w:p>
            <w:pPr>
              <w:pStyle w:val="TableParagraph"/>
              <w:spacing w:line="247" w:lineRule="exact"/>
              <w:ind w:right="934"/>
              <w:jc w:val="right"/>
              <w:rPr>
                <w:sz w:val="22"/>
              </w:rPr>
            </w:pPr>
            <w:r>
              <w:rPr>
                <w:sz w:val="22"/>
              </w:rPr>
              <w:t>Al</w:t>
            </w:r>
          </w:p>
        </w:tc>
        <w:tc>
          <w:tcPr>
            <w:tcW w:w="2750" w:type="dxa"/>
          </w:tcPr>
          <w:p>
            <w:pPr>
              <w:pStyle w:val="TableParagraph"/>
              <w:spacing w:line="247" w:lineRule="exact"/>
              <w:ind w:left="895"/>
              <w:rPr>
                <w:sz w:val="22"/>
              </w:rPr>
            </w:pPr>
            <w:r>
              <w:rPr>
                <w:sz w:val="22"/>
              </w:rPr>
              <w:t>93.3-95.3</w:t>
            </w:r>
          </w:p>
        </w:tc>
      </w:tr>
      <w:tr>
        <w:trPr>
          <w:trHeight w:val="423" w:hRule="atLeast"/>
        </w:trPr>
        <w:tc>
          <w:tcPr>
            <w:tcW w:w="2525" w:type="dxa"/>
            <w:vMerge/>
            <w:tcBorders>
              <w:top w:val="nil"/>
            </w:tcBorders>
          </w:tcPr>
          <w:p>
            <w:pPr>
              <w:rPr>
                <w:sz w:val="2"/>
                <w:szCs w:val="2"/>
              </w:rPr>
            </w:pPr>
          </w:p>
        </w:tc>
        <w:tc>
          <w:tcPr>
            <w:tcW w:w="2004" w:type="dxa"/>
          </w:tcPr>
          <w:p>
            <w:pPr>
              <w:pStyle w:val="TableParagraph"/>
              <w:spacing w:before="85"/>
              <w:ind w:right="891"/>
              <w:jc w:val="right"/>
              <w:rPr>
                <w:sz w:val="22"/>
              </w:rPr>
            </w:pPr>
            <w:r>
              <w:rPr>
                <w:sz w:val="22"/>
              </w:rPr>
              <w:t>Cu</w:t>
            </w:r>
          </w:p>
        </w:tc>
        <w:tc>
          <w:tcPr>
            <w:tcW w:w="2750" w:type="dxa"/>
          </w:tcPr>
          <w:p>
            <w:pPr>
              <w:pStyle w:val="TableParagraph"/>
              <w:spacing w:before="85"/>
              <w:ind w:left="931" w:right="970"/>
              <w:jc w:val="center"/>
              <w:rPr>
                <w:sz w:val="22"/>
              </w:rPr>
            </w:pPr>
            <w:r>
              <w:rPr>
                <w:sz w:val="22"/>
              </w:rPr>
              <w:t>4.25-5.0</w:t>
            </w:r>
          </w:p>
        </w:tc>
      </w:tr>
      <w:tr>
        <w:trPr>
          <w:trHeight w:val="422" w:hRule="atLeast"/>
        </w:trPr>
        <w:tc>
          <w:tcPr>
            <w:tcW w:w="2525" w:type="dxa"/>
            <w:vMerge/>
            <w:tcBorders>
              <w:top w:val="nil"/>
            </w:tcBorders>
          </w:tcPr>
          <w:p>
            <w:pPr>
              <w:rPr>
                <w:sz w:val="2"/>
                <w:szCs w:val="2"/>
              </w:rPr>
            </w:pPr>
          </w:p>
        </w:tc>
        <w:tc>
          <w:tcPr>
            <w:tcW w:w="2004" w:type="dxa"/>
          </w:tcPr>
          <w:p>
            <w:pPr>
              <w:pStyle w:val="TableParagraph"/>
              <w:spacing w:before="79"/>
              <w:ind w:right="903"/>
              <w:jc w:val="right"/>
              <w:rPr>
                <w:sz w:val="22"/>
              </w:rPr>
            </w:pPr>
            <w:r>
              <w:rPr>
                <w:sz w:val="22"/>
              </w:rPr>
              <w:t>Fe</w:t>
            </w:r>
          </w:p>
        </w:tc>
        <w:tc>
          <w:tcPr>
            <w:tcW w:w="2750" w:type="dxa"/>
          </w:tcPr>
          <w:p>
            <w:pPr>
              <w:pStyle w:val="TableParagraph"/>
              <w:spacing w:before="79"/>
              <w:ind w:left="931" w:right="967"/>
              <w:jc w:val="center"/>
              <w:rPr>
                <w:sz w:val="22"/>
              </w:rPr>
            </w:pPr>
            <w:r>
              <w:rPr>
                <w:sz w:val="22"/>
              </w:rPr>
              <w:t>0.1</w:t>
            </w:r>
          </w:p>
        </w:tc>
      </w:tr>
      <w:tr>
        <w:trPr>
          <w:trHeight w:val="423" w:hRule="atLeast"/>
        </w:trPr>
        <w:tc>
          <w:tcPr>
            <w:tcW w:w="2525" w:type="dxa"/>
          </w:tcPr>
          <w:p>
            <w:pPr>
              <w:pStyle w:val="TableParagraph"/>
              <w:spacing w:before="88"/>
              <w:ind w:left="868"/>
              <w:rPr>
                <w:sz w:val="22"/>
              </w:rPr>
            </w:pPr>
            <w:r>
              <w:rPr>
                <w:sz w:val="22"/>
              </w:rPr>
              <w:t>Al-A206</w:t>
            </w:r>
          </w:p>
        </w:tc>
        <w:tc>
          <w:tcPr>
            <w:tcW w:w="2004" w:type="dxa"/>
          </w:tcPr>
          <w:p>
            <w:pPr>
              <w:pStyle w:val="TableParagraph"/>
              <w:spacing w:before="83"/>
              <w:ind w:right="897"/>
              <w:jc w:val="right"/>
              <w:rPr>
                <w:sz w:val="22"/>
              </w:rPr>
            </w:pPr>
            <w:r>
              <w:rPr>
                <w:sz w:val="22"/>
              </w:rPr>
              <w:t>Mg</w:t>
            </w:r>
          </w:p>
        </w:tc>
        <w:tc>
          <w:tcPr>
            <w:tcW w:w="2750" w:type="dxa"/>
          </w:tcPr>
          <w:p>
            <w:pPr>
              <w:pStyle w:val="TableParagraph"/>
              <w:spacing w:before="83"/>
              <w:ind w:left="885"/>
              <w:rPr>
                <w:sz w:val="22"/>
              </w:rPr>
            </w:pPr>
            <w:r>
              <w:rPr>
                <w:sz w:val="22"/>
              </w:rPr>
              <w:t>0.15-0.35</w:t>
            </w:r>
          </w:p>
        </w:tc>
      </w:tr>
      <w:tr>
        <w:trPr>
          <w:trHeight w:val="412" w:hRule="atLeast"/>
        </w:trPr>
        <w:tc>
          <w:tcPr>
            <w:tcW w:w="2525" w:type="dxa"/>
          </w:tcPr>
          <w:p>
            <w:pPr>
              <w:pStyle w:val="TableParagraph"/>
              <w:rPr>
                <w:rFonts w:ascii="Times New Roman"/>
                <w:sz w:val="20"/>
              </w:rPr>
            </w:pPr>
          </w:p>
        </w:tc>
        <w:tc>
          <w:tcPr>
            <w:tcW w:w="2004" w:type="dxa"/>
          </w:tcPr>
          <w:p>
            <w:pPr>
              <w:pStyle w:val="TableParagraph"/>
              <w:spacing w:before="75"/>
              <w:ind w:right="892"/>
              <w:jc w:val="right"/>
              <w:rPr>
                <w:sz w:val="22"/>
              </w:rPr>
            </w:pPr>
            <w:r>
              <w:rPr>
                <w:sz w:val="22"/>
              </w:rPr>
              <w:t>Mn</w:t>
            </w:r>
          </w:p>
        </w:tc>
        <w:tc>
          <w:tcPr>
            <w:tcW w:w="2750" w:type="dxa"/>
          </w:tcPr>
          <w:p>
            <w:pPr>
              <w:pStyle w:val="TableParagraph"/>
              <w:spacing w:before="75"/>
              <w:ind w:left="924" w:right="970"/>
              <w:jc w:val="center"/>
              <w:rPr>
                <w:sz w:val="22"/>
              </w:rPr>
            </w:pPr>
            <w:r>
              <w:rPr>
                <w:sz w:val="22"/>
              </w:rPr>
              <w:t>0.2-0.5</w:t>
            </w:r>
          </w:p>
        </w:tc>
      </w:tr>
      <w:tr>
        <w:trPr>
          <w:trHeight w:val="421" w:hRule="atLeast"/>
        </w:trPr>
        <w:tc>
          <w:tcPr>
            <w:tcW w:w="2525" w:type="dxa"/>
          </w:tcPr>
          <w:p>
            <w:pPr>
              <w:pStyle w:val="TableParagraph"/>
              <w:rPr>
                <w:rFonts w:ascii="Times New Roman"/>
                <w:sz w:val="20"/>
              </w:rPr>
            </w:pPr>
          </w:p>
        </w:tc>
        <w:tc>
          <w:tcPr>
            <w:tcW w:w="2004" w:type="dxa"/>
          </w:tcPr>
          <w:p>
            <w:pPr>
              <w:pStyle w:val="TableParagraph"/>
              <w:spacing w:before="77"/>
              <w:ind w:right="932"/>
              <w:jc w:val="right"/>
              <w:rPr>
                <w:sz w:val="22"/>
              </w:rPr>
            </w:pPr>
            <w:r>
              <w:rPr>
                <w:sz w:val="22"/>
              </w:rPr>
              <w:t>Ni</w:t>
            </w:r>
          </w:p>
        </w:tc>
        <w:tc>
          <w:tcPr>
            <w:tcW w:w="2750" w:type="dxa"/>
          </w:tcPr>
          <w:p>
            <w:pPr>
              <w:pStyle w:val="TableParagraph"/>
              <w:spacing w:before="77"/>
              <w:ind w:left="927" w:right="970"/>
              <w:jc w:val="center"/>
              <w:rPr>
                <w:sz w:val="22"/>
              </w:rPr>
            </w:pPr>
            <w:r>
              <w:rPr>
                <w:sz w:val="22"/>
              </w:rPr>
              <w:t>0.05</w:t>
            </w:r>
          </w:p>
        </w:tc>
      </w:tr>
      <w:tr>
        <w:trPr>
          <w:trHeight w:val="422" w:hRule="atLeast"/>
        </w:trPr>
        <w:tc>
          <w:tcPr>
            <w:tcW w:w="2525" w:type="dxa"/>
          </w:tcPr>
          <w:p>
            <w:pPr>
              <w:pStyle w:val="TableParagraph"/>
              <w:rPr>
                <w:rFonts w:ascii="Times New Roman"/>
                <w:sz w:val="20"/>
              </w:rPr>
            </w:pPr>
          </w:p>
        </w:tc>
        <w:tc>
          <w:tcPr>
            <w:tcW w:w="2004" w:type="dxa"/>
          </w:tcPr>
          <w:p>
            <w:pPr>
              <w:pStyle w:val="TableParagraph"/>
              <w:spacing w:before="83"/>
              <w:ind w:right="936"/>
              <w:jc w:val="right"/>
              <w:rPr>
                <w:sz w:val="22"/>
              </w:rPr>
            </w:pPr>
            <w:r>
              <w:rPr>
                <w:sz w:val="22"/>
              </w:rPr>
              <w:t>Si</w:t>
            </w:r>
          </w:p>
        </w:tc>
        <w:tc>
          <w:tcPr>
            <w:tcW w:w="2750" w:type="dxa"/>
          </w:tcPr>
          <w:p>
            <w:pPr>
              <w:pStyle w:val="TableParagraph"/>
              <w:spacing w:before="83"/>
              <w:ind w:left="927" w:right="970"/>
              <w:jc w:val="center"/>
              <w:rPr>
                <w:sz w:val="22"/>
              </w:rPr>
            </w:pPr>
            <w:r>
              <w:rPr>
                <w:sz w:val="22"/>
              </w:rPr>
              <w:t>0.05</w:t>
            </w:r>
          </w:p>
        </w:tc>
      </w:tr>
      <w:tr>
        <w:trPr>
          <w:trHeight w:val="332" w:hRule="atLeast"/>
        </w:trPr>
        <w:tc>
          <w:tcPr>
            <w:tcW w:w="2525" w:type="dxa"/>
            <w:tcBorders>
              <w:bottom w:val="single" w:sz="6" w:space="0" w:color="000000"/>
            </w:tcBorders>
          </w:tcPr>
          <w:p>
            <w:pPr>
              <w:pStyle w:val="TableParagraph"/>
              <w:rPr>
                <w:rFonts w:ascii="Times New Roman"/>
                <w:sz w:val="20"/>
              </w:rPr>
            </w:pPr>
          </w:p>
        </w:tc>
        <w:tc>
          <w:tcPr>
            <w:tcW w:w="2004" w:type="dxa"/>
            <w:tcBorders>
              <w:bottom w:val="single" w:sz="6" w:space="0" w:color="000000"/>
            </w:tcBorders>
          </w:tcPr>
          <w:p>
            <w:pPr>
              <w:pStyle w:val="TableParagraph"/>
              <w:spacing w:line="234" w:lineRule="exact" w:before="79"/>
              <w:ind w:right="898"/>
              <w:jc w:val="right"/>
              <w:rPr>
                <w:sz w:val="22"/>
              </w:rPr>
            </w:pPr>
            <w:r>
              <w:rPr>
                <w:sz w:val="22"/>
              </w:rPr>
              <w:t>Sn</w:t>
            </w:r>
          </w:p>
        </w:tc>
        <w:tc>
          <w:tcPr>
            <w:tcW w:w="2750" w:type="dxa"/>
            <w:tcBorders>
              <w:bottom w:val="single" w:sz="6" w:space="0" w:color="000000"/>
            </w:tcBorders>
          </w:tcPr>
          <w:p>
            <w:pPr>
              <w:pStyle w:val="TableParagraph"/>
              <w:spacing w:line="234" w:lineRule="exact" w:before="79"/>
              <w:ind w:left="927" w:right="970"/>
              <w:jc w:val="center"/>
              <w:rPr>
                <w:sz w:val="22"/>
              </w:rPr>
            </w:pPr>
            <w:r>
              <w:rPr>
                <w:sz w:val="22"/>
              </w:rPr>
              <w:t>0.05</w:t>
            </w:r>
          </w:p>
        </w:tc>
      </w:tr>
      <w:tr>
        <w:trPr>
          <w:trHeight w:val="510" w:hRule="atLeast"/>
        </w:trPr>
        <w:tc>
          <w:tcPr>
            <w:tcW w:w="2525" w:type="dxa"/>
            <w:tcBorders>
              <w:top w:val="single" w:sz="6" w:space="0" w:color="000000"/>
            </w:tcBorders>
          </w:tcPr>
          <w:p>
            <w:pPr>
              <w:pStyle w:val="TableParagraph"/>
              <w:rPr>
                <w:rFonts w:ascii="Times New Roman"/>
                <w:sz w:val="20"/>
              </w:rPr>
            </w:pPr>
          </w:p>
        </w:tc>
        <w:tc>
          <w:tcPr>
            <w:tcW w:w="2004" w:type="dxa"/>
            <w:tcBorders>
              <w:top w:val="single" w:sz="6" w:space="0" w:color="000000"/>
            </w:tcBorders>
          </w:tcPr>
          <w:p>
            <w:pPr>
              <w:pStyle w:val="TableParagraph"/>
              <w:spacing w:before="163"/>
              <w:ind w:right="897"/>
              <w:jc w:val="right"/>
              <w:rPr>
                <w:sz w:val="22"/>
              </w:rPr>
            </w:pPr>
            <w:r>
              <w:rPr>
                <w:sz w:val="22"/>
              </w:rPr>
              <w:t>Mg</w:t>
            </w:r>
          </w:p>
        </w:tc>
        <w:tc>
          <w:tcPr>
            <w:tcW w:w="2750" w:type="dxa"/>
            <w:tcBorders>
              <w:top w:val="single" w:sz="6" w:space="0" w:color="000000"/>
            </w:tcBorders>
          </w:tcPr>
          <w:p>
            <w:pPr>
              <w:pStyle w:val="TableParagraph"/>
              <w:spacing w:before="163"/>
              <w:ind w:left="925" w:right="970"/>
              <w:jc w:val="center"/>
              <w:rPr>
                <w:sz w:val="22"/>
              </w:rPr>
            </w:pPr>
            <w:r>
              <w:rPr>
                <w:sz w:val="22"/>
              </w:rPr>
              <w:t>88-91</w:t>
            </w:r>
          </w:p>
        </w:tc>
      </w:tr>
      <w:tr>
        <w:trPr>
          <w:trHeight w:val="431" w:hRule="atLeast"/>
        </w:trPr>
        <w:tc>
          <w:tcPr>
            <w:tcW w:w="2525" w:type="dxa"/>
          </w:tcPr>
          <w:p>
            <w:pPr>
              <w:pStyle w:val="TableParagraph"/>
              <w:rPr>
                <w:rFonts w:ascii="Times New Roman"/>
                <w:sz w:val="20"/>
              </w:rPr>
            </w:pPr>
          </w:p>
        </w:tc>
        <w:tc>
          <w:tcPr>
            <w:tcW w:w="2004" w:type="dxa"/>
          </w:tcPr>
          <w:p>
            <w:pPr>
              <w:pStyle w:val="TableParagraph"/>
              <w:spacing w:before="87"/>
              <w:ind w:right="934"/>
              <w:jc w:val="right"/>
              <w:rPr>
                <w:sz w:val="22"/>
              </w:rPr>
            </w:pPr>
            <w:r>
              <w:rPr>
                <w:sz w:val="22"/>
              </w:rPr>
              <w:t>Al</w:t>
            </w:r>
          </w:p>
        </w:tc>
        <w:tc>
          <w:tcPr>
            <w:tcW w:w="2750" w:type="dxa"/>
          </w:tcPr>
          <w:p>
            <w:pPr>
              <w:pStyle w:val="TableParagraph"/>
              <w:spacing w:before="87"/>
              <w:ind w:left="929" w:right="970"/>
              <w:jc w:val="center"/>
              <w:rPr>
                <w:sz w:val="22"/>
              </w:rPr>
            </w:pPr>
            <w:r>
              <w:rPr>
                <w:sz w:val="22"/>
              </w:rPr>
              <w:t>8.3-9.7</w:t>
            </w:r>
          </w:p>
        </w:tc>
      </w:tr>
      <w:tr>
        <w:trPr>
          <w:trHeight w:val="833" w:hRule="atLeast"/>
        </w:trPr>
        <w:tc>
          <w:tcPr>
            <w:tcW w:w="2525" w:type="dxa"/>
          </w:tcPr>
          <w:p>
            <w:pPr>
              <w:pStyle w:val="TableParagraph"/>
              <w:rPr>
                <w:b/>
                <w:sz w:val="24"/>
              </w:rPr>
            </w:pPr>
          </w:p>
          <w:p>
            <w:pPr>
              <w:pStyle w:val="TableParagraph"/>
              <w:spacing w:before="196"/>
              <w:ind w:left="805"/>
              <w:rPr>
                <w:sz w:val="22"/>
              </w:rPr>
            </w:pPr>
            <w:r>
              <w:rPr>
                <w:sz w:val="22"/>
              </w:rPr>
              <w:t>Mg-AZ91</w:t>
            </w:r>
          </w:p>
        </w:tc>
        <w:tc>
          <w:tcPr>
            <w:tcW w:w="2004" w:type="dxa"/>
          </w:tcPr>
          <w:p>
            <w:pPr>
              <w:pStyle w:val="TableParagraph"/>
              <w:spacing w:before="83"/>
              <w:ind w:left="800" w:right="865"/>
              <w:jc w:val="center"/>
              <w:rPr>
                <w:sz w:val="22"/>
              </w:rPr>
            </w:pPr>
            <w:r>
              <w:rPr>
                <w:spacing w:val="-4"/>
                <w:sz w:val="22"/>
              </w:rPr>
              <w:t>Mn</w:t>
            </w:r>
          </w:p>
          <w:p>
            <w:pPr>
              <w:pStyle w:val="TableParagraph"/>
              <w:spacing w:before="160"/>
              <w:ind w:left="799" w:right="865"/>
              <w:jc w:val="center"/>
              <w:rPr>
                <w:sz w:val="22"/>
              </w:rPr>
            </w:pPr>
            <w:r>
              <w:rPr>
                <w:sz w:val="22"/>
              </w:rPr>
              <w:t>Zn</w:t>
            </w:r>
          </w:p>
        </w:tc>
        <w:tc>
          <w:tcPr>
            <w:tcW w:w="2750" w:type="dxa"/>
          </w:tcPr>
          <w:p>
            <w:pPr>
              <w:pStyle w:val="TableParagraph"/>
              <w:spacing w:before="83"/>
              <w:ind w:left="931"/>
              <w:rPr>
                <w:sz w:val="22"/>
              </w:rPr>
            </w:pPr>
            <w:r>
              <w:rPr>
                <w:sz w:val="22"/>
              </w:rPr>
              <w:t>0.13</w:t>
            </w:r>
            <w:r>
              <w:rPr>
                <w:spacing w:val="-6"/>
                <w:sz w:val="22"/>
              </w:rPr>
              <w:t> </w:t>
            </w:r>
            <w:r>
              <w:rPr>
                <w:sz w:val="22"/>
              </w:rPr>
              <w:t>min</w:t>
            </w:r>
          </w:p>
          <w:p>
            <w:pPr>
              <w:pStyle w:val="TableParagraph"/>
              <w:spacing w:before="160"/>
              <w:ind w:left="931" w:right="970"/>
              <w:jc w:val="center"/>
              <w:rPr>
                <w:sz w:val="22"/>
              </w:rPr>
            </w:pPr>
            <w:r>
              <w:rPr>
                <w:sz w:val="22"/>
              </w:rPr>
              <w:t>0.35-1.0</w:t>
            </w:r>
          </w:p>
        </w:tc>
      </w:tr>
      <w:tr>
        <w:trPr>
          <w:trHeight w:val="422" w:hRule="atLeast"/>
        </w:trPr>
        <w:tc>
          <w:tcPr>
            <w:tcW w:w="2525" w:type="dxa"/>
          </w:tcPr>
          <w:p>
            <w:pPr>
              <w:pStyle w:val="TableParagraph"/>
              <w:rPr>
                <w:rFonts w:ascii="Times New Roman"/>
                <w:sz w:val="20"/>
              </w:rPr>
            </w:pPr>
          </w:p>
        </w:tc>
        <w:tc>
          <w:tcPr>
            <w:tcW w:w="2004" w:type="dxa"/>
          </w:tcPr>
          <w:p>
            <w:pPr>
              <w:pStyle w:val="TableParagraph"/>
              <w:spacing w:before="77"/>
              <w:ind w:right="935"/>
              <w:jc w:val="right"/>
              <w:rPr>
                <w:sz w:val="22"/>
              </w:rPr>
            </w:pPr>
            <w:r>
              <w:rPr>
                <w:sz w:val="22"/>
              </w:rPr>
              <w:t>Si</w:t>
            </w:r>
          </w:p>
        </w:tc>
        <w:tc>
          <w:tcPr>
            <w:tcW w:w="2750" w:type="dxa"/>
          </w:tcPr>
          <w:p>
            <w:pPr>
              <w:pStyle w:val="TableParagraph"/>
              <w:spacing w:before="77"/>
              <w:ind w:left="897"/>
              <w:rPr>
                <w:sz w:val="22"/>
              </w:rPr>
            </w:pPr>
            <w:r>
              <w:rPr>
                <w:sz w:val="22"/>
              </w:rPr>
              <w:t>0.50 max</w:t>
            </w:r>
          </w:p>
        </w:tc>
      </w:tr>
      <w:tr>
        <w:trPr>
          <w:trHeight w:val="338" w:hRule="atLeast"/>
        </w:trPr>
        <w:tc>
          <w:tcPr>
            <w:tcW w:w="2525" w:type="dxa"/>
          </w:tcPr>
          <w:p>
            <w:pPr>
              <w:pStyle w:val="TableParagraph"/>
              <w:rPr>
                <w:rFonts w:ascii="Times New Roman"/>
                <w:sz w:val="20"/>
              </w:rPr>
            </w:pPr>
          </w:p>
        </w:tc>
        <w:tc>
          <w:tcPr>
            <w:tcW w:w="2004" w:type="dxa"/>
          </w:tcPr>
          <w:p>
            <w:pPr>
              <w:pStyle w:val="TableParagraph"/>
              <w:spacing w:line="233" w:lineRule="exact" w:before="85"/>
              <w:ind w:right="893"/>
              <w:jc w:val="right"/>
              <w:rPr>
                <w:sz w:val="22"/>
              </w:rPr>
            </w:pPr>
            <w:r>
              <w:rPr>
                <w:sz w:val="22"/>
              </w:rPr>
              <w:t>Cu</w:t>
            </w:r>
          </w:p>
        </w:tc>
        <w:tc>
          <w:tcPr>
            <w:tcW w:w="2750" w:type="dxa"/>
          </w:tcPr>
          <w:p>
            <w:pPr>
              <w:pStyle w:val="TableParagraph"/>
              <w:spacing w:line="233" w:lineRule="exact" w:before="85"/>
              <w:ind w:left="962"/>
              <w:rPr>
                <w:sz w:val="22"/>
              </w:rPr>
            </w:pPr>
            <w:r>
              <w:rPr>
                <w:sz w:val="22"/>
              </w:rPr>
              <w:t>0.1 max</w:t>
            </w:r>
          </w:p>
        </w:tc>
      </w:tr>
    </w:tbl>
    <w:p>
      <w:pPr>
        <w:spacing w:after="0" w:line="233" w:lineRule="exact"/>
        <w:rPr>
          <w:sz w:val="22"/>
        </w:rPr>
        <w:sectPr>
          <w:pgSz w:w="12240" w:h="15840"/>
          <w:pgMar w:header="0" w:footer="1293" w:top="1500" w:bottom="1480" w:left="1520" w:right="940"/>
        </w:sectPr>
      </w:pPr>
    </w:p>
    <w:p>
      <w:pPr>
        <w:tabs>
          <w:tab w:pos="4639" w:val="left" w:leader="none"/>
          <w:tab w:pos="6677" w:val="left" w:leader="none"/>
          <w:tab w:pos="8528" w:val="left" w:leader="none"/>
        </w:tabs>
        <w:spacing w:before="79" w:after="3"/>
        <w:ind w:left="3782" w:right="0" w:firstLine="0"/>
        <w:jc w:val="left"/>
        <w:rPr>
          <w:sz w:val="22"/>
        </w:rPr>
      </w:pPr>
      <w:r>
        <w:rPr/>
        <w:pict>
          <v:line style="position:absolute;mso-position-horizontal-relative:page;mso-position-vertical-relative:paragraph;z-index:251664384" from="138.779999pt,55.227859pt" to="264.059999pt,55.227859pt" stroked="true" strokeweight="1.56pt" strokecolor="#000000">
            <v:stroke dashstyle="solid"/>
            <w10:wrap type="none"/>
          </v:line>
        </w:pict>
      </w:r>
      <w:r>
        <w:rPr/>
        <w:pict>
          <v:rect style="position:absolute;margin-left:162.860001pt;margin-top:14.747861pt;width:3pt;height:1.44pt;mso-position-horizontal-relative:page;mso-position-vertical-relative:paragraph;z-index:251665408" filled="true" fillcolor="#000000" stroked="false">
            <v:fill type="solid"/>
            <w10:wrap type="none"/>
          </v:rect>
        </w:pict>
      </w:r>
      <w:r>
        <w:rPr>
          <w:w w:val="100"/>
          <w:sz w:val="22"/>
          <w:u w:val="thick"/>
        </w:rPr>
        <w:t> </w:t>
      </w:r>
      <w:r>
        <w:rPr>
          <w:sz w:val="22"/>
          <w:u w:val="thick"/>
        </w:rPr>
        <w:tab/>
        <w:t>Ni</w:t>
        <w:tab/>
        <w:t>0.03</w:t>
      </w:r>
      <w:r>
        <w:rPr>
          <w:spacing w:val="-2"/>
          <w:sz w:val="22"/>
          <w:u w:val="thick"/>
        </w:rPr>
        <w:t> </w:t>
      </w:r>
      <w:r>
        <w:rPr>
          <w:sz w:val="22"/>
          <w:u w:val="thick"/>
        </w:rPr>
        <w:t>max</w:t>
        <w:tab/>
      </w:r>
    </w:p>
    <w:p>
      <w:pPr>
        <w:pStyle w:val="BodyText"/>
        <w:spacing w:line="32" w:lineRule="exact"/>
        <w:ind w:left="5718"/>
        <w:rPr>
          <w:sz w:val="3"/>
        </w:rPr>
      </w:pPr>
      <w:r>
        <w:rPr>
          <w:position w:val="0"/>
          <w:sz w:val="3"/>
        </w:rPr>
        <w:pict>
          <v:group style="width:1.6pt;height:1.6pt;mso-position-horizontal-relative:char;mso-position-vertical-relative:line" coordorigin="0,0" coordsize="32,32">
            <v:line style="position:absolute" from="0,16" to="31,16" stroked="true" strokeweight="1.56pt" strokecolor="#000000">
              <v:stroke dashstyle="solid"/>
            </v:line>
          </v:group>
        </w:pict>
      </w:r>
      <w:r>
        <w:rPr>
          <w:position w:val="0"/>
          <w:sz w:val="3"/>
        </w:rPr>
      </w:r>
    </w:p>
    <w:p>
      <w:pPr>
        <w:pStyle w:val="BodyText"/>
        <w:rPr>
          <w:sz w:val="20"/>
        </w:rPr>
      </w:pPr>
    </w:p>
    <w:p>
      <w:pPr>
        <w:pStyle w:val="BodyText"/>
        <w:rPr>
          <w:sz w:val="20"/>
        </w:rPr>
      </w:pPr>
    </w:p>
    <w:p>
      <w:pPr>
        <w:pStyle w:val="BodyText"/>
        <w:spacing w:before="8"/>
        <w:rPr>
          <w:sz w:val="20"/>
        </w:rPr>
      </w:pPr>
      <w:r>
        <w:rPr/>
        <w:pict>
          <v:group style="position:absolute;margin-left:168pt;margin-top:13.881953pt;width:354.5pt;height:225.9pt;mso-position-horizontal-relative:page;mso-position-vertical-relative:paragraph;z-index:-251653120;mso-wrap-distance-left:0;mso-wrap-distance-right:0" coordorigin="3360,278" coordsize="7090,4518">
            <v:shape style="position:absolute;left:6218;top:1078;width:1090;height:2672" type="#_x0000_t75" stroked="false">
              <v:imagedata r:id="rId10" o:title=""/>
            </v:shape>
            <v:line style="position:absolute" from="6601,2001" to="4278,854" stroked="true" strokeweight="2.04pt" strokecolor="#000000">
              <v:stroke dashstyle="solid"/>
            </v:line>
            <v:line style="position:absolute" from="6709,2519" to="4823,3952" stroked="true" strokeweight="2.04pt" strokecolor="#000000">
              <v:stroke dashstyle="solid"/>
            </v:line>
            <v:rect style="position:absolute;left:3488;top:3954;width:2732;height:742" filled="false" stroked="true" strokeweight="2.04pt" strokecolor="#000000">
              <v:stroke dashstyle="solid"/>
            </v:rect>
            <v:line style="position:absolute" from="6697,2901" to="9220,4030" stroked="true" strokeweight="2.04pt" strokecolor="#000000">
              <v:stroke dashstyle="solid"/>
            </v:line>
            <v:rect style="position:absolute;left:8017;top:4050;width:2412;height:725" filled="false" stroked="true" strokeweight="2.04pt" strokecolor="#000000">
              <v:stroke dashstyle="solid"/>
            </v:rect>
            <v:line style="position:absolute" from="8748,1331" to="7055,2070" stroked="true" strokeweight="2.04pt" strokecolor="#000000">
              <v:stroke dashstyle="solid"/>
            </v:line>
            <v:shape style="position:absolute;left:3380;top:298;width:1796;height:549" type="#_x0000_t202" filled="false" stroked="true" strokeweight="2.04pt" strokecolor="#000000">
              <v:textbox inset="0,0,0,0">
                <w:txbxContent>
                  <w:p>
                    <w:pPr>
                      <w:spacing w:before="54"/>
                      <w:ind w:left="531" w:right="0" w:firstLine="0"/>
                      <w:jc w:val="left"/>
                      <w:rPr>
                        <w:sz w:val="20"/>
                      </w:rPr>
                    </w:pPr>
                    <w:r>
                      <w:rPr>
                        <w:sz w:val="20"/>
                      </w:rPr>
                      <w:t>Aleación</w:t>
                    </w:r>
                  </w:p>
                </w:txbxContent>
              </v:textbox>
              <v:stroke dashstyle="solid"/>
              <w10:wrap type="none"/>
            </v:shape>
            <v:shape style="position:absolute;left:7494;top:404;width:2494;height:910" type="#_x0000_t202" filled="false" stroked="true" strokeweight="2.04pt" strokecolor="#000000">
              <v:textbox inset="0,0,0,0">
                <w:txbxContent>
                  <w:p>
                    <w:pPr>
                      <w:spacing w:line="240" w:lineRule="auto" w:before="11"/>
                      <w:rPr>
                        <w:sz w:val="27"/>
                      </w:rPr>
                    </w:pPr>
                  </w:p>
                  <w:p>
                    <w:pPr>
                      <w:spacing w:before="0"/>
                      <w:ind w:left="303" w:right="0" w:firstLine="16"/>
                      <w:jc w:val="left"/>
                      <w:rPr>
                        <w:sz w:val="20"/>
                      </w:rPr>
                    </w:pPr>
                    <w:r>
                      <w:rPr>
                        <w:sz w:val="20"/>
                      </w:rPr>
                      <w:t>Tubo de acero recu- bierto con Zirc Wash</w:t>
                    </w:r>
                  </w:p>
                </w:txbxContent>
              </v:textbox>
              <v:stroke dashstyl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6684" w:val="left" w:leader="none"/>
        </w:tabs>
        <w:spacing w:before="263"/>
        <w:ind w:left="2159" w:right="0" w:firstLine="0"/>
        <w:jc w:val="left"/>
        <w:rPr>
          <w:sz w:val="20"/>
        </w:rPr>
      </w:pPr>
      <w:r>
        <w:rPr>
          <w:position w:val="2"/>
          <w:sz w:val="20"/>
        </w:rPr>
        <w:t>Fieltro espaciador</w:t>
      </w:r>
      <w:r>
        <w:rPr>
          <w:spacing w:val="-8"/>
          <w:position w:val="2"/>
          <w:sz w:val="20"/>
        </w:rPr>
        <w:t> </w:t>
      </w:r>
      <w:r>
        <w:rPr>
          <w:position w:val="2"/>
          <w:sz w:val="20"/>
        </w:rPr>
        <w:t>de</w:t>
      </w:r>
      <w:r>
        <w:rPr>
          <w:spacing w:val="-2"/>
          <w:position w:val="2"/>
          <w:sz w:val="20"/>
        </w:rPr>
        <w:t> </w:t>
      </w:r>
      <w:r>
        <w:rPr>
          <w:position w:val="2"/>
          <w:sz w:val="20"/>
        </w:rPr>
        <w:t>ZrO</w:t>
      </w:r>
      <w:r>
        <w:rPr>
          <w:sz w:val="13"/>
        </w:rPr>
        <w:t>2</w:t>
        <w:tab/>
      </w:r>
      <w:r>
        <w:rPr>
          <w:position w:val="-5"/>
          <w:sz w:val="20"/>
        </w:rPr>
        <w:t>Esferas huecas de</w:t>
      </w:r>
      <w:r>
        <w:rPr>
          <w:spacing w:val="-18"/>
          <w:position w:val="-5"/>
          <w:sz w:val="20"/>
        </w:rPr>
        <w:t> </w:t>
      </w:r>
      <w:r>
        <w:rPr>
          <w:position w:val="-5"/>
          <w:sz w:val="20"/>
        </w:rPr>
        <w:t>SiC</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before="200"/>
        <w:ind w:left="1835" w:right="0" w:firstLine="0"/>
        <w:jc w:val="left"/>
        <w:rPr>
          <w:b/>
          <w:sz w:val="18"/>
        </w:rPr>
      </w:pPr>
      <w:r>
        <w:rPr>
          <w:b/>
          <w:sz w:val="18"/>
        </w:rPr>
        <w:t>FIG. 3 Vista del ensamble utilizado para la síntesis de las espumas</w:t>
      </w:r>
    </w:p>
    <w:p>
      <w:pPr>
        <w:spacing w:after="0"/>
        <w:jc w:val="left"/>
        <w:rPr>
          <w:sz w:val="18"/>
        </w:rPr>
        <w:sectPr>
          <w:pgSz w:w="12240" w:h="15840"/>
          <w:pgMar w:header="0" w:footer="1293" w:top="1400" w:bottom="1480" w:left="1520" w:right="940"/>
        </w:sectPr>
      </w:pPr>
    </w:p>
    <w:p>
      <w:pPr>
        <w:pStyle w:val="BodyText"/>
        <w:rPr>
          <w:b/>
          <w:sz w:val="20"/>
        </w:rPr>
      </w:pPr>
    </w:p>
    <w:p>
      <w:pPr>
        <w:pStyle w:val="BodyText"/>
        <w:spacing w:before="1"/>
        <w:rPr>
          <w:b/>
          <w:sz w:val="27"/>
        </w:rPr>
      </w:pPr>
    </w:p>
    <w:p>
      <w:pPr>
        <w:pStyle w:val="BodyText"/>
        <w:ind w:left="1337"/>
        <w:rPr>
          <w:sz w:val="20"/>
        </w:rPr>
      </w:pPr>
      <w:r>
        <w:rPr>
          <w:sz w:val="20"/>
        </w:rPr>
        <w:drawing>
          <wp:inline distT="0" distB="0" distL="0" distR="0">
            <wp:extent cx="4888847" cy="3637788"/>
            <wp:effectExtent l="0" t="0" r="0" b="0"/>
            <wp:docPr id="7" name="image5.png"/>
            <wp:cNvGraphicFramePr>
              <a:graphicFrameLocks noChangeAspect="1"/>
            </wp:cNvGraphicFramePr>
            <a:graphic>
              <a:graphicData uri="http://schemas.openxmlformats.org/drawingml/2006/picture">
                <pic:pic>
                  <pic:nvPicPr>
                    <pic:cNvPr id="8" name="image5.png"/>
                    <pic:cNvPicPr/>
                  </pic:nvPicPr>
                  <pic:blipFill>
                    <a:blip r:embed="rId11" cstate="print"/>
                    <a:stretch>
                      <a:fillRect/>
                    </a:stretch>
                  </pic:blipFill>
                  <pic:spPr>
                    <a:xfrm>
                      <a:off x="0" y="0"/>
                      <a:ext cx="4888847" cy="3637788"/>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9"/>
        <w:rPr>
          <w:b/>
          <w:sz w:val="22"/>
        </w:rPr>
      </w:pPr>
    </w:p>
    <w:p>
      <w:pPr>
        <w:spacing w:before="1"/>
        <w:ind w:left="1835" w:right="0" w:firstLine="0"/>
        <w:jc w:val="left"/>
        <w:rPr>
          <w:b/>
          <w:sz w:val="18"/>
        </w:rPr>
      </w:pPr>
      <w:r>
        <w:rPr>
          <w:b/>
          <w:sz w:val="18"/>
        </w:rPr>
        <w:t>FIG. 4 Vista del dispositivo de infiltración a de baja presión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3"/>
        </w:rPr>
      </w:pPr>
    </w:p>
    <w:p>
      <w:pPr>
        <w:pStyle w:val="BodyText"/>
        <w:spacing w:line="360" w:lineRule="auto" w:before="1"/>
        <w:ind w:left="755" w:right="1005" w:firstLine="336"/>
        <w:jc w:val="both"/>
      </w:pPr>
      <w:r>
        <w:rPr/>
        <w:t>La adecuada presión de infiltración fue establecida luego de algunos ensayos, a fin de obtener una presión donde la mayor parte de las esferas estaban rodeadas por </w:t>
      </w:r>
      <w:r>
        <w:rPr>
          <w:spacing w:val="-3"/>
        </w:rPr>
        <w:t>la </w:t>
      </w:r>
      <w:r>
        <w:rPr/>
        <w:t>matriz (buena infiltración) y la menor cantidad de esferas llenas por el metal. El montaje utilizado en el estudio se muestra</w:t>
      </w:r>
      <w:r>
        <w:rPr>
          <w:spacing w:val="-42"/>
        </w:rPr>
        <w:t> </w:t>
      </w:r>
      <w:r>
        <w:rPr/>
        <w:t>en la Figura 4.</w:t>
      </w:r>
    </w:p>
    <w:p>
      <w:pPr>
        <w:pStyle w:val="BodyText"/>
        <w:rPr>
          <w:sz w:val="26"/>
        </w:rPr>
      </w:pPr>
    </w:p>
    <w:p>
      <w:pPr>
        <w:pStyle w:val="BodyText"/>
        <w:spacing w:before="9"/>
        <w:rPr>
          <w:sz w:val="37"/>
        </w:rPr>
      </w:pPr>
    </w:p>
    <w:p>
      <w:pPr>
        <w:pStyle w:val="BodyText"/>
        <w:spacing w:line="360" w:lineRule="auto"/>
        <w:ind w:left="755" w:right="1007" w:firstLine="331"/>
        <w:jc w:val="both"/>
      </w:pPr>
      <w:r>
        <w:rPr/>
        <w:t>Muestras</w:t>
      </w:r>
      <w:r>
        <w:rPr>
          <w:spacing w:val="-20"/>
        </w:rPr>
        <w:t> </w:t>
      </w:r>
      <w:r>
        <w:rPr/>
        <w:t>de</w:t>
      </w:r>
      <w:r>
        <w:rPr>
          <w:spacing w:val="-21"/>
        </w:rPr>
        <w:t> </w:t>
      </w:r>
      <w:r>
        <w:rPr/>
        <w:t>aleaciones</w:t>
      </w:r>
      <w:r>
        <w:rPr>
          <w:spacing w:val="-23"/>
        </w:rPr>
        <w:t> </w:t>
      </w:r>
      <w:r>
        <w:rPr/>
        <w:t>sin</w:t>
      </w:r>
      <w:r>
        <w:rPr>
          <w:spacing w:val="-20"/>
        </w:rPr>
        <w:t> </w:t>
      </w:r>
      <w:r>
        <w:rPr/>
        <w:t>esferas</w:t>
      </w:r>
      <w:r>
        <w:rPr>
          <w:spacing w:val="-20"/>
        </w:rPr>
        <w:t> </w:t>
      </w:r>
      <w:r>
        <w:rPr/>
        <w:t>de</w:t>
      </w:r>
      <w:r>
        <w:rPr>
          <w:spacing w:val="-20"/>
        </w:rPr>
        <w:t> </w:t>
      </w:r>
      <w:r>
        <w:rPr/>
        <w:t>refuerzo</w:t>
      </w:r>
      <w:r>
        <w:rPr>
          <w:spacing w:val="-21"/>
        </w:rPr>
        <w:t> </w:t>
      </w:r>
      <w:r>
        <w:rPr/>
        <w:t>fueron</w:t>
      </w:r>
      <w:r>
        <w:rPr>
          <w:spacing w:val="-24"/>
        </w:rPr>
        <w:t> </w:t>
      </w:r>
      <w:r>
        <w:rPr/>
        <w:t>fundidas</w:t>
      </w:r>
      <w:r>
        <w:rPr>
          <w:spacing w:val="-23"/>
        </w:rPr>
        <w:t> </w:t>
      </w:r>
      <w:r>
        <w:rPr/>
        <w:t>utilizando el procedimiento descrito anteriormente, para fines de comparación con las espumas sintácticas. Luego de la colada, los especímenes</w:t>
      </w:r>
      <w:r>
        <w:rPr>
          <w:spacing w:val="55"/>
        </w:rPr>
        <w:t> </w:t>
      </w:r>
      <w:r>
        <w:rPr/>
        <w:t>fueron</w:t>
      </w:r>
    </w:p>
    <w:p>
      <w:pPr>
        <w:spacing w:after="0" w:line="360" w:lineRule="auto"/>
        <w:jc w:val="both"/>
        <w:sectPr>
          <w:pgSz w:w="12240" w:h="15840"/>
          <w:pgMar w:header="0" w:footer="1293" w:top="1500" w:bottom="1480" w:left="1520" w:right="940"/>
        </w:sectPr>
      </w:pPr>
    </w:p>
    <w:p>
      <w:pPr>
        <w:pStyle w:val="BodyText"/>
        <w:spacing w:line="360" w:lineRule="auto" w:before="79"/>
        <w:ind w:left="755" w:right="1006"/>
        <w:jc w:val="both"/>
      </w:pPr>
      <w:r>
        <w:rPr/>
        <w:t>desmoldados para obtener las dimensiones finales de 10,4 mm x 10,4 mm x 35-50 mm. Parte de las muestras de los especímenes de la aleación </w:t>
      </w:r>
      <w:r>
        <w:rPr>
          <w:spacing w:val="2"/>
        </w:rPr>
        <w:t>Al- </w:t>
      </w:r>
      <w:r>
        <w:rPr/>
        <w:t>A206 fueron sometidas a tratamientos térmicos para reforzar la matriz,</w:t>
      </w:r>
      <w:r>
        <w:rPr>
          <w:spacing w:val="-45"/>
        </w:rPr>
        <w:t> </w:t>
      </w:r>
      <w:r>
        <w:rPr/>
        <w:t>bajo las condiciones T4 y T7,</w:t>
      </w:r>
      <w:r>
        <w:rPr>
          <w:spacing w:val="-13"/>
        </w:rPr>
        <w:t> </w:t>
      </w:r>
      <w:r>
        <w:rPr/>
        <w:t>respectivamente.</w:t>
      </w:r>
    </w:p>
    <w:p>
      <w:pPr>
        <w:pStyle w:val="BodyText"/>
        <w:rPr>
          <w:sz w:val="26"/>
        </w:rPr>
      </w:pPr>
    </w:p>
    <w:p>
      <w:pPr>
        <w:pStyle w:val="BodyText"/>
        <w:spacing w:line="357" w:lineRule="auto" w:before="217"/>
        <w:ind w:left="755" w:right="1318" w:firstLine="336"/>
        <w:jc w:val="both"/>
      </w:pPr>
      <w:r>
        <w:rPr/>
        <w:t>Las muestras tratadas térmicamente fueron sometidas a un tratamiento</w:t>
      </w:r>
      <w:r>
        <w:rPr>
          <w:spacing w:val="-9"/>
        </w:rPr>
        <w:t> </w:t>
      </w:r>
      <w:r>
        <w:rPr/>
        <w:t>de</w:t>
      </w:r>
      <w:r>
        <w:rPr>
          <w:spacing w:val="-5"/>
        </w:rPr>
        <w:t> </w:t>
      </w:r>
      <w:r>
        <w:rPr/>
        <w:t>solución,</w:t>
      </w:r>
      <w:r>
        <w:rPr>
          <w:spacing w:val="-5"/>
        </w:rPr>
        <w:t> </w:t>
      </w:r>
      <w:r>
        <w:rPr/>
        <w:t>entre</w:t>
      </w:r>
      <w:r>
        <w:rPr>
          <w:spacing w:val="-7"/>
        </w:rPr>
        <w:t> </w:t>
      </w:r>
      <w:r>
        <w:rPr/>
        <w:t>490</w:t>
      </w:r>
      <w:r>
        <w:rPr>
          <w:spacing w:val="-4"/>
        </w:rPr>
        <w:t> </w:t>
      </w:r>
      <w:r>
        <w:rPr/>
        <w:t>y</w:t>
      </w:r>
      <w:r>
        <w:rPr>
          <w:spacing w:val="-12"/>
        </w:rPr>
        <w:t> </w:t>
      </w:r>
      <w:r>
        <w:rPr/>
        <w:t>500</w:t>
      </w:r>
      <w:r>
        <w:rPr>
          <w:spacing w:val="-6"/>
        </w:rPr>
        <w:t> </w:t>
      </w:r>
      <w:r>
        <w:rPr/>
        <w:t>°C</w:t>
      </w:r>
      <w:r>
        <w:rPr>
          <w:spacing w:val="-8"/>
        </w:rPr>
        <w:t> </w:t>
      </w:r>
      <w:r>
        <w:rPr/>
        <w:t>durante</w:t>
      </w:r>
      <w:r>
        <w:rPr>
          <w:spacing w:val="-6"/>
        </w:rPr>
        <w:t> </w:t>
      </w:r>
      <w:r>
        <w:rPr/>
        <w:t>2</w:t>
      </w:r>
      <w:r>
        <w:rPr>
          <w:spacing w:val="-7"/>
        </w:rPr>
        <w:t> </w:t>
      </w:r>
      <w:r>
        <w:rPr/>
        <w:t>horas,</w:t>
      </w:r>
      <w:r>
        <w:rPr>
          <w:spacing w:val="-7"/>
        </w:rPr>
        <w:t> </w:t>
      </w:r>
      <w:r>
        <w:rPr/>
        <w:t>seguido</w:t>
      </w:r>
      <w:r>
        <w:rPr>
          <w:spacing w:val="-3"/>
        </w:rPr>
        <w:t> </w:t>
      </w:r>
      <w:r>
        <w:rPr/>
        <w:t>por otro entre 525 y 530 °C durante 14-20</w:t>
      </w:r>
      <w:r>
        <w:rPr>
          <w:spacing w:val="-14"/>
        </w:rPr>
        <w:t> </w:t>
      </w:r>
      <w:r>
        <w:rPr/>
        <w:t>horas.</w:t>
      </w:r>
    </w:p>
    <w:p>
      <w:pPr>
        <w:pStyle w:val="BodyText"/>
        <w:rPr>
          <w:sz w:val="26"/>
        </w:rPr>
      </w:pPr>
    </w:p>
    <w:p>
      <w:pPr>
        <w:pStyle w:val="BodyText"/>
        <w:spacing w:before="11"/>
        <w:rPr>
          <w:sz w:val="37"/>
        </w:rPr>
      </w:pPr>
    </w:p>
    <w:p>
      <w:pPr>
        <w:pStyle w:val="BodyText"/>
        <w:spacing w:line="357" w:lineRule="auto"/>
        <w:ind w:left="755" w:right="1317" w:firstLine="324"/>
        <w:jc w:val="both"/>
      </w:pPr>
      <w:r>
        <w:rPr/>
        <w:t>Posteriormente, algunas de las muestras fueron sometidas a un envejecimiento natural a 21 °C durante 120 horas para alcanzar la condición T4, y el resto fueron sometidas a un envejecimiento artificial a</w:t>
      </w:r>
    </w:p>
    <w:p>
      <w:pPr>
        <w:pStyle w:val="BodyText"/>
        <w:spacing w:line="357" w:lineRule="auto"/>
        <w:ind w:left="755" w:right="1319"/>
        <w:jc w:val="both"/>
      </w:pPr>
      <w:r>
        <w:rPr/>
        <w:t>200 °C durante 4 horas para alcanzar la condición T7 [39]. Los especímenes de la aleación de Mg-AZ91 fueron ensayados en estado bruto de colada.</w:t>
      </w:r>
    </w:p>
    <w:p>
      <w:pPr>
        <w:pStyle w:val="BodyText"/>
        <w:rPr>
          <w:sz w:val="26"/>
        </w:rPr>
      </w:pPr>
    </w:p>
    <w:p>
      <w:pPr>
        <w:pStyle w:val="BodyText"/>
        <w:spacing w:line="360" w:lineRule="auto" w:before="227"/>
        <w:ind w:left="755" w:right="1274" w:firstLine="336"/>
        <w:jc w:val="both"/>
      </w:pPr>
      <w:r>
        <w:rPr/>
        <w:t>Las micro estructuras de las espumas sintácticas fueron obtenidas obtuvieron utilizando un microscopio óptico Nikon Eclipse TS100. Para identificar la composición de las fases fue utilizado un microscopio electrónico de barrido Topcon SM300 equipado con espectrómetro de energía dispersiva (EDS).</w:t>
      </w:r>
    </w:p>
    <w:p>
      <w:pPr>
        <w:pStyle w:val="BodyText"/>
        <w:rPr>
          <w:sz w:val="26"/>
        </w:rPr>
      </w:pPr>
    </w:p>
    <w:p>
      <w:pPr>
        <w:pStyle w:val="BodyText"/>
        <w:spacing w:before="8"/>
        <w:rPr>
          <w:sz w:val="37"/>
        </w:rPr>
      </w:pPr>
    </w:p>
    <w:p>
      <w:pPr>
        <w:pStyle w:val="BodyText"/>
        <w:spacing w:line="360" w:lineRule="auto" w:before="1"/>
        <w:ind w:left="755" w:right="1274" w:firstLine="336"/>
        <w:jc w:val="both"/>
      </w:pPr>
      <w:r>
        <w:rPr/>
        <w:t>La densidad de las espumas sintácticas fue medida utilizando una microbalanza Metler Toledo AT261 Delta Range equipada con un dispositivo para la medición de la densidad (método de Arquímedes). Antes de efectuar las mediciones, las muestras fueron recubiertas ligeramente con grasa de silicona con el fin de evitar la penetración de agua a través de los poros superficiales durante esta medición.</w:t>
      </w:r>
    </w:p>
    <w:p>
      <w:pPr>
        <w:spacing w:after="0" w:line="360" w:lineRule="auto"/>
        <w:jc w:val="both"/>
        <w:sectPr>
          <w:pgSz w:w="12240" w:h="15840"/>
          <w:pgMar w:header="0" w:footer="1293" w:top="1400" w:bottom="1480" w:left="1520" w:right="940"/>
        </w:sectPr>
      </w:pPr>
    </w:p>
    <w:p>
      <w:pPr>
        <w:pStyle w:val="BodyText"/>
        <w:spacing w:before="5"/>
        <w:rPr>
          <w:sz w:val="21"/>
        </w:rPr>
      </w:pPr>
    </w:p>
    <w:p>
      <w:pPr>
        <w:pStyle w:val="BodyText"/>
        <w:spacing w:line="360" w:lineRule="auto" w:before="93"/>
        <w:ind w:left="755" w:right="845" w:firstLine="336"/>
        <w:jc w:val="both"/>
      </w:pPr>
      <w:r>
        <w:rPr/>
        <w:t>Los ensayos de compresión bajo condiciones cuasi-estáticas fueron realizados de acuerdo con la norma ASTM C365-11 sobre especímenes de forma cubica con dimensiones de 10,4 mm x 10,4 mm x 10,4 mm.</w:t>
      </w:r>
    </w:p>
    <w:p>
      <w:pPr>
        <w:pStyle w:val="BodyText"/>
        <w:rPr>
          <w:sz w:val="26"/>
        </w:rPr>
      </w:pPr>
    </w:p>
    <w:p>
      <w:pPr>
        <w:pStyle w:val="BodyText"/>
        <w:spacing w:before="8"/>
        <w:rPr>
          <w:sz w:val="37"/>
        </w:rPr>
      </w:pPr>
    </w:p>
    <w:p>
      <w:pPr>
        <w:pStyle w:val="BodyText"/>
        <w:spacing w:line="369" w:lineRule="auto"/>
        <w:ind w:left="755" w:right="844" w:firstLine="336"/>
        <w:jc w:val="both"/>
      </w:pPr>
      <w:r>
        <w:rPr/>
        <w:t>La prueba se llevó a cabo utilizando una máquina universal de ensayos SATEC modelo 50Ud con una velocidad de avance de la cruceta constante, y una tasa de deformación inicial de 10</w:t>
      </w:r>
      <w:r>
        <w:rPr>
          <w:vertAlign w:val="superscript"/>
        </w:rPr>
        <w:t>-3</w:t>
      </w:r>
      <w:r>
        <w:rPr>
          <w:vertAlign w:val="baseline"/>
        </w:rPr>
        <w:t> s</w:t>
      </w:r>
      <w:r>
        <w:rPr>
          <w:vertAlign w:val="superscript"/>
        </w:rPr>
        <w:t>-1</w:t>
      </w:r>
      <w:r>
        <w:rPr>
          <w:vertAlign w:val="baseline"/>
        </w:rPr>
        <w:t>. Con el fin de asegurar una distribución</w:t>
      </w:r>
      <w:r>
        <w:rPr>
          <w:spacing w:val="-8"/>
          <w:vertAlign w:val="baseline"/>
        </w:rPr>
        <w:t> </w:t>
      </w:r>
      <w:r>
        <w:rPr>
          <w:vertAlign w:val="baseline"/>
        </w:rPr>
        <w:t>uniforme</w:t>
      </w:r>
      <w:r>
        <w:rPr>
          <w:spacing w:val="-10"/>
          <w:vertAlign w:val="baseline"/>
        </w:rPr>
        <w:t> </w:t>
      </w:r>
      <w:r>
        <w:rPr>
          <w:vertAlign w:val="baseline"/>
        </w:rPr>
        <w:t>de</w:t>
      </w:r>
      <w:r>
        <w:rPr>
          <w:spacing w:val="-5"/>
          <w:vertAlign w:val="baseline"/>
        </w:rPr>
        <w:t> </w:t>
      </w:r>
      <w:r>
        <w:rPr>
          <w:vertAlign w:val="baseline"/>
        </w:rPr>
        <w:t>la</w:t>
      </w:r>
      <w:r>
        <w:rPr>
          <w:spacing w:val="-7"/>
          <w:vertAlign w:val="baseline"/>
        </w:rPr>
        <w:t> </w:t>
      </w:r>
      <w:r>
        <w:rPr>
          <w:vertAlign w:val="baseline"/>
        </w:rPr>
        <w:t>carga</w:t>
      </w:r>
      <w:r>
        <w:rPr>
          <w:spacing w:val="-7"/>
          <w:vertAlign w:val="baseline"/>
        </w:rPr>
        <w:t> </w:t>
      </w:r>
      <w:r>
        <w:rPr>
          <w:vertAlign w:val="baseline"/>
        </w:rPr>
        <w:t>aplicada</w:t>
      </w:r>
      <w:r>
        <w:rPr>
          <w:spacing w:val="-4"/>
          <w:vertAlign w:val="baseline"/>
        </w:rPr>
        <w:t> </w:t>
      </w:r>
      <w:r>
        <w:rPr>
          <w:vertAlign w:val="baseline"/>
        </w:rPr>
        <w:t>sobre</w:t>
      </w:r>
      <w:r>
        <w:rPr>
          <w:spacing w:val="-7"/>
          <w:vertAlign w:val="baseline"/>
        </w:rPr>
        <w:t> </w:t>
      </w:r>
      <w:r>
        <w:rPr>
          <w:vertAlign w:val="baseline"/>
        </w:rPr>
        <w:t>el</w:t>
      </w:r>
      <w:r>
        <w:rPr>
          <w:spacing w:val="-9"/>
          <w:vertAlign w:val="baseline"/>
        </w:rPr>
        <w:t> </w:t>
      </w:r>
      <w:r>
        <w:rPr>
          <w:vertAlign w:val="baseline"/>
        </w:rPr>
        <w:t>espécimen</w:t>
      </w:r>
      <w:r>
        <w:rPr>
          <w:spacing w:val="-9"/>
          <w:vertAlign w:val="baseline"/>
        </w:rPr>
        <w:t> </w:t>
      </w:r>
      <w:r>
        <w:rPr>
          <w:vertAlign w:val="baseline"/>
        </w:rPr>
        <w:t>ensayado,</w:t>
      </w:r>
      <w:r>
        <w:rPr>
          <w:spacing w:val="-10"/>
          <w:vertAlign w:val="baseline"/>
        </w:rPr>
        <w:t> </w:t>
      </w:r>
      <w:r>
        <w:rPr>
          <w:vertAlign w:val="baseline"/>
        </w:rPr>
        <w:t>una</w:t>
      </w:r>
    </w:p>
    <w:p>
      <w:pPr>
        <w:pStyle w:val="BodyText"/>
        <w:spacing w:line="360" w:lineRule="auto"/>
        <w:ind w:left="755" w:right="844"/>
        <w:jc w:val="both"/>
      </w:pPr>
      <w:r>
        <w:rPr/>
        <w:t>de las placas rígidas de la maquina universal fue reemplazada por una placa de auto-nivelación. Las deformaciones fueron calculadas a partir del desplazamiento de la cruceta, y fueron corregidas tomando en</w:t>
      </w:r>
      <w:r>
        <w:rPr>
          <w:spacing w:val="-43"/>
        </w:rPr>
        <w:t> </w:t>
      </w:r>
      <w:r>
        <w:rPr/>
        <w:t>consideración la deflexión del bastidor de carga.</w:t>
      </w:r>
    </w:p>
    <w:p>
      <w:pPr>
        <w:pStyle w:val="BodyText"/>
        <w:rPr>
          <w:sz w:val="26"/>
        </w:rPr>
      </w:pPr>
    </w:p>
    <w:p>
      <w:pPr>
        <w:pStyle w:val="BodyText"/>
        <w:rPr>
          <w:sz w:val="37"/>
        </w:rPr>
      </w:pPr>
    </w:p>
    <w:p>
      <w:pPr>
        <w:pStyle w:val="BodyText"/>
        <w:spacing w:line="360" w:lineRule="auto" w:before="1"/>
        <w:ind w:left="755" w:right="845" w:firstLine="336"/>
        <w:jc w:val="both"/>
      </w:pPr>
      <w:r>
        <w:rPr/>
        <w:t>Usualmente, las </w:t>
      </w:r>
      <w:r>
        <w:rPr>
          <w:spacing w:val="-3"/>
        </w:rPr>
        <w:t>curvas </w:t>
      </w:r>
      <w:r>
        <w:rPr/>
        <w:t>de compresión cuasi-estática exhiben un pico inicial de esfuerzo, seguido por una meseta de esfuerzos menores, de magnitud relativamente constante, finalizando con una fase de densificación del material bajo ensayo. El ensayo de compresión fue detenido cuando el esfuerzo de densificación supero ligeramente la magnitud del pico inicial de esfuerzo. La tenacidad de las espumas sintácticas fue determinada calculando</w:t>
      </w:r>
      <w:r>
        <w:rPr>
          <w:spacing w:val="-14"/>
        </w:rPr>
        <w:t> </w:t>
      </w:r>
      <w:r>
        <w:rPr/>
        <w:t>el</w:t>
      </w:r>
      <w:r>
        <w:rPr>
          <w:spacing w:val="-16"/>
        </w:rPr>
        <w:t> </w:t>
      </w:r>
      <w:r>
        <w:rPr/>
        <w:t>área</w:t>
      </w:r>
      <w:r>
        <w:rPr>
          <w:spacing w:val="-14"/>
        </w:rPr>
        <w:t> </w:t>
      </w:r>
      <w:r>
        <w:rPr/>
        <w:t>bajo</w:t>
      </w:r>
      <w:r>
        <w:rPr>
          <w:spacing w:val="-15"/>
        </w:rPr>
        <w:t> </w:t>
      </w:r>
      <w:r>
        <w:rPr/>
        <w:t>la</w:t>
      </w:r>
      <w:r>
        <w:rPr>
          <w:spacing w:val="-13"/>
        </w:rPr>
        <w:t> </w:t>
      </w:r>
      <w:r>
        <w:rPr/>
        <w:t>curva</w:t>
      </w:r>
      <w:r>
        <w:rPr>
          <w:spacing w:val="-14"/>
        </w:rPr>
        <w:t> </w:t>
      </w:r>
      <w:r>
        <w:rPr/>
        <w:t>esfuerzo-</w:t>
      </w:r>
      <w:r>
        <w:rPr>
          <w:spacing w:val="-14"/>
        </w:rPr>
        <w:t> </w:t>
      </w:r>
      <w:r>
        <w:rPr/>
        <w:t>deformación</w:t>
      </w:r>
      <w:r>
        <w:rPr>
          <w:spacing w:val="-15"/>
        </w:rPr>
        <w:t> </w:t>
      </w:r>
      <w:r>
        <w:rPr/>
        <w:t>bajo</w:t>
      </w:r>
      <w:r>
        <w:rPr>
          <w:spacing w:val="-14"/>
        </w:rPr>
        <w:t> </w:t>
      </w:r>
      <w:r>
        <w:rPr/>
        <w:t>compresión</w:t>
      </w:r>
      <w:r>
        <w:rPr>
          <w:spacing w:val="-11"/>
        </w:rPr>
        <w:t> </w:t>
      </w:r>
      <w:r>
        <w:rPr/>
        <w:t>cuasi estática hasta alcanzar el esfuerzo de deformación; sus unidades son aquellas</w:t>
      </w:r>
      <w:r>
        <w:rPr>
          <w:spacing w:val="-10"/>
        </w:rPr>
        <w:t> </w:t>
      </w:r>
      <w:r>
        <w:rPr/>
        <w:t>correspondientes</w:t>
      </w:r>
      <w:r>
        <w:rPr>
          <w:spacing w:val="-12"/>
        </w:rPr>
        <w:t> </w:t>
      </w:r>
      <w:r>
        <w:rPr/>
        <w:t>a</w:t>
      </w:r>
      <w:r>
        <w:rPr>
          <w:spacing w:val="-11"/>
        </w:rPr>
        <w:t> </w:t>
      </w:r>
      <w:r>
        <w:rPr/>
        <w:t>la</w:t>
      </w:r>
      <w:r>
        <w:rPr>
          <w:spacing w:val="-12"/>
        </w:rPr>
        <w:t> </w:t>
      </w:r>
      <w:r>
        <w:rPr>
          <w:spacing w:val="-3"/>
        </w:rPr>
        <w:t>energía</w:t>
      </w:r>
      <w:r>
        <w:rPr>
          <w:spacing w:val="-8"/>
        </w:rPr>
        <w:t> </w:t>
      </w:r>
      <w:r>
        <w:rPr/>
        <w:t>por</w:t>
      </w:r>
      <w:r>
        <w:rPr>
          <w:spacing w:val="-10"/>
        </w:rPr>
        <w:t> </w:t>
      </w:r>
      <w:r>
        <w:rPr/>
        <w:t>unidad</w:t>
      </w:r>
      <w:r>
        <w:rPr>
          <w:spacing w:val="-12"/>
        </w:rPr>
        <w:t> </w:t>
      </w:r>
      <w:r>
        <w:rPr/>
        <w:t>de</w:t>
      </w:r>
      <w:r>
        <w:rPr>
          <w:spacing w:val="-11"/>
        </w:rPr>
        <w:t> </w:t>
      </w:r>
      <w:r>
        <w:rPr/>
        <w:t>volumen</w:t>
      </w:r>
      <w:r>
        <w:rPr>
          <w:spacing w:val="-11"/>
        </w:rPr>
        <w:t> </w:t>
      </w:r>
      <w:r>
        <w:rPr/>
        <w:t>del</w:t>
      </w:r>
      <w:r>
        <w:rPr>
          <w:spacing w:val="-14"/>
        </w:rPr>
        <w:t> </w:t>
      </w:r>
      <w:r>
        <w:rPr/>
        <w:t>material</w:t>
      </w:r>
      <w:r>
        <w:rPr>
          <w:spacing w:val="-10"/>
        </w:rPr>
        <w:t> </w:t>
      </w:r>
      <w:r>
        <w:rPr/>
        <w:t>(J/</w:t>
      </w:r>
    </w:p>
    <w:p>
      <w:pPr>
        <w:pStyle w:val="BodyText"/>
        <w:spacing w:before="35"/>
        <w:ind w:left="755"/>
      </w:pPr>
      <w:r>
        <w:rPr/>
        <w:t>cm</w:t>
      </w:r>
      <w:r>
        <w:rPr>
          <w:vertAlign w:val="superscript"/>
        </w:rPr>
        <w:t>3</w:t>
      </w:r>
      <w:r>
        <w:rPr>
          <w:vertAlign w:val="baseline"/>
        </w:rPr>
        <w:t>).</w:t>
      </w:r>
    </w:p>
    <w:p>
      <w:pPr>
        <w:pStyle w:val="BodyText"/>
        <w:rPr>
          <w:sz w:val="30"/>
        </w:rPr>
      </w:pPr>
    </w:p>
    <w:p>
      <w:pPr>
        <w:pStyle w:val="BodyText"/>
        <w:rPr>
          <w:sz w:val="30"/>
        </w:rPr>
      </w:pPr>
    </w:p>
    <w:p>
      <w:pPr>
        <w:pStyle w:val="BodyText"/>
        <w:spacing w:line="360" w:lineRule="auto" w:before="182"/>
        <w:ind w:left="755" w:right="843" w:firstLine="336"/>
        <w:jc w:val="both"/>
      </w:pPr>
      <w:r>
        <w:rPr/>
        <w:t>Una variedad de métodos han sido publicados en la literatura especializada para calcular la meseta de esfuerzos [13, 34, 36, 55]. En el presente</w:t>
      </w:r>
      <w:r>
        <w:rPr>
          <w:spacing w:val="-8"/>
        </w:rPr>
        <w:t> </w:t>
      </w:r>
      <w:r>
        <w:rPr/>
        <w:t>trabajo,</w:t>
      </w:r>
      <w:r>
        <w:rPr>
          <w:spacing w:val="-9"/>
        </w:rPr>
        <w:t> </w:t>
      </w:r>
      <w:r>
        <w:rPr/>
        <w:t>la</w:t>
      </w:r>
      <w:r>
        <w:rPr>
          <w:spacing w:val="-9"/>
        </w:rPr>
        <w:t> </w:t>
      </w:r>
      <w:r>
        <w:rPr/>
        <w:t>meseta</w:t>
      </w:r>
      <w:r>
        <w:rPr>
          <w:spacing w:val="-9"/>
        </w:rPr>
        <w:t> </w:t>
      </w:r>
      <w:r>
        <w:rPr/>
        <w:t>de</w:t>
      </w:r>
      <w:r>
        <w:rPr>
          <w:spacing w:val="-10"/>
        </w:rPr>
        <w:t> </w:t>
      </w:r>
      <w:r>
        <w:rPr/>
        <w:t>esfuerzos</w:t>
      </w:r>
      <w:r>
        <w:rPr>
          <w:spacing w:val="-8"/>
        </w:rPr>
        <w:t> </w:t>
      </w:r>
      <w:r>
        <w:rPr/>
        <w:t>ha</w:t>
      </w:r>
      <w:r>
        <w:rPr>
          <w:spacing w:val="-7"/>
        </w:rPr>
        <w:t> </w:t>
      </w:r>
      <w:r>
        <w:rPr/>
        <w:t>sido</w:t>
      </w:r>
      <w:r>
        <w:rPr>
          <w:spacing w:val="-8"/>
        </w:rPr>
        <w:t> </w:t>
      </w:r>
      <w:r>
        <w:rPr/>
        <w:t>calculada</w:t>
      </w:r>
      <w:r>
        <w:rPr>
          <w:spacing w:val="-9"/>
        </w:rPr>
        <w:t> </w:t>
      </w:r>
      <w:r>
        <w:rPr/>
        <w:t>como</w:t>
      </w:r>
      <w:r>
        <w:rPr>
          <w:spacing w:val="-9"/>
        </w:rPr>
        <w:t> </w:t>
      </w:r>
      <w:r>
        <w:rPr/>
        <w:t>el</w:t>
      </w:r>
      <w:r>
        <w:rPr>
          <w:spacing w:val="-9"/>
        </w:rPr>
        <w:t> </w:t>
      </w:r>
      <w:r>
        <w:rPr/>
        <w:t>promedio</w:t>
      </w:r>
    </w:p>
    <w:p>
      <w:pPr>
        <w:spacing w:after="0" w:line="360" w:lineRule="auto"/>
        <w:jc w:val="both"/>
        <w:sectPr>
          <w:pgSz w:w="12240" w:h="15840"/>
          <w:pgMar w:header="0" w:footer="1293" w:top="1500" w:bottom="1480" w:left="1520" w:right="940"/>
        </w:sectPr>
      </w:pPr>
    </w:p>
    <w:p>
      <w:pPr>
        <w:pStyle w:val="BodyText"/>
        <w:spacing w:line="360" w:lineRule="auto" w:before="79"/>
        <w:ind w:left="755" w:right="844"/>
        <w:jc w:val="both"/>
      </w:pPr>
      <w:r>
        <w:rPr/>
        <w:t>de todos los valores medidos entre la deformación correspondiente al pico inicial</w:t>
      </w:r>
      <w:r>
        <w:rPr>
          <w:spacing w:val="-20"/>
        </w:rPr>
        <w:t> </w:t>
      </w:r>
      <w:r>
        <w:rPr/>
        <w:t>de</w:t>
      </w:r>
      <w:r>
        <w:rPr>
          <w:spacing w:val="-21"/>
        </w:rPr>
        <w:t> </w:t>
      </w:r>
      <w:r>
        <w:rPr/>
        <w:t>esfuerzo</w:t>
      </w:r>
      <w:r>
        <w:rPr>
          <w:spacing w:val="-18"/>
        </w:rPr>
        <w:t> </w:t>
      </w:r>
      <w:r>
        <w:rPr/>
        <w:t>y</w:t>
      </w:r>
      <w:r>
        <w:rPr>
          <w:spacing w:val="-23"/>
        </w:rPr>
        <w:t> </w:t>
      </w:r>
      <w:r>
        <w:rPr/>
        <w:t>la</w:t>
      </w:r>
      <w:r>
        <w:rPr>
          <w:spacing w:val="-16"/>
        </w:rPr>
        <w:t> </w:t>
      </w:r>
      <w:r>
        <w:rPr/>
        <w:t>deformación</w:t>
      </w:r>
      <w:r>
        <w:rPr>
          <w:spacing w:val="-20"/>
        </w:rPr>
        <w:t> </w:t>
      </w:r>
      <w:r>
        <w:rPr/>
        <w:t>de</w:t>
      </w:r>
      <w:r>
        <w:rPr>
          <w:spacing w:val="-21"/>
        </w:rPr>
        <w:t> </w:t>
      </w:r>
      <w:r>
        <w:rPr/>
        <w:t>densificación</w:t>
      </w:r>
      <w:r>
        <w:rPr>
          <w:spacing w:val="-18"/>
        </w:rPr>
        <w:t> </w:t>
      </w:r>
      <w:r>
        <w:rPr/>
        <w:t>(la</w:t>
      </w:r>
      <w:r>
        <w:rPr>
          <w:spacing w:val="-21"/>
        </w:rPr>
        <w:t> </w:t>
      </w:r>
      <w:r>
        <w:rPr/>
        <w:t>deformación</w:t>
      </w:r>
      <w:r>
        <w:rPr>
          <w:spacing w:val="-22"/>
        </w:rPr>
        <w:t> </w:t>
      </w:r>
      <w:r>
        <w:rPr/>
        <w:t>que</w:t>
      </w:r>
      <w:r>
        <w:rPr>
          <w:spacing w:val="-19"/>
        </w:rPr>
        <w:t> </w:t>
      </w:r>
      <w:r>
        <w:rPr/>
        <w:t>sigue al pico inicial, en el cual el esfuerzo alcanza la magnitud de la pico inicial de esfuerzo)</w:t>
      </w:r>
      <w:r>
        <w:rPr>
          <w:spacing w:val="-1"/>
        </w:rPr>
        <w:t> </w:t>
      </w:r>
      <w:r>
        <w:rPr/>
        <w:t>[34].</w:t>
      </w:r>
    </w:p>
    <w:p>
      <w:pPr>
        <w:spacing w:after="0" w:line="360" w:lineRule="auto"/>
        <w:jc w:val="both"/>
        <w:sectPr>
          <w:pgSz w:w="12240" w:h="15840"/>
          <w:pgMar w:header="0" w:footer="1293" w:top="1400" w:bottom="1480" w:left="1520" w:right="940"/>
        </w:sectPr>
      </w:pPr>
    </w:p>
    <w:p>
      <w:pPr>
        <w:pStyle w:val="BodyText"/>
        <w:rPr>
          <w:sz w:val="16"/>
        </w:rPr>
      </w:pPr>
    </w:p>
    <w:p>
      <w:pPr>
        <w:pStyle w:val="Heading2"/>
        <w:numPr>
          <w:ilvl w:val="0"/>
          <w:numId w:val="6"/>
        </w:numPr>
        <w:tabs>
          <w:tab w:pos="1753" w:val="left" w:leader="none"/>
          <w:tab w:pos="1754" w:val="left" w:leader="none"/>
        </w:tabs>
        <w:spacing w:line="240" w:lineRule="auto" w:before="93" w:after="0"/>
        <w:ind w:left="1754" w:right="0" w:hanging="720"/>
        <w:jc w:val="left"/>
      </w:pPr>
      <w:bookmarkStart w:name="_TOC_250001" w:id="27"/>
      <w:r>
        <w:rPr/>
        <w:t>DISCUSION DE</w:t>
      </w:r>
      <w:r>
        <w:rPr>
          <w:spacing w:val="-1"/>
        </w:rPr>
        <w:t> </w:t>
      </w:r>
      <w:bookmarkEnd w:id="27"/>
      <w:r>
        <w:rPr/>
        <w:t>RESULTADOS</w:t>
      </w:r>
    </w:p>
    <w:p>
      <w:pPr>
        <w:pStyle w:val="BodyText"/>
        <w:rPr>
          <w:b/>
          <w:sz w:val="26"/>
        </w:rPr>
      </w:pPr>
    </w:p>
    <w:p>
      <w:pPr>
        <w:pStyle w:val="BodyText"/>
        <w:rPr>
          <w:b/>
          <w:sz w:val="26"/>
        </w:rPr>
      </w:pPr>
    </w:p>
    <w:p>
      <w:pPr>
        <w:pStyle w:val="BodyText"/>
        <w:spacing w:before="8"/>
        <w:rPr>
          <w:b/>
          <w:sz w:val="28"/>
        </w:rPr>
      </w:pPr>
    </w:p>
    <w:p>
      <w:pPr>
        <w:pStyle w:val="Heading2"/>
        <w:numPr>
          <w:ilvl w:val="1"/>
          <w:numId w:val="17"/>
        </w:numPr>
        <w:tabs>
          <w:tab w:pos="1486" w:val="left" w:leader="none"/>
        </w:tabs>
        <w:spacing w:line="240" w:lineRule="auto" w:before="1" w:after="0"/>
        <w:ind w:left="1485" w:right="0" w:hanging="407"/>
        <w:jc w:val="left"/>
      </w:pPr>
      <w:bookmarkStart w:name="_TOC_250000" w:id="28"/>
      <w:bookmarkEnd w:id="28"/>
      <w:r>
        <w:rPr/>
        <w:t>Microestructura</w:t>
      </w:r>
    </w:p>
    <w:p>
      <w:pPr>
        <w:pStyle w:val="BodyText"/>
        <w:rPr>
          <w:b/>
          <w:sz w:val="26"/>
        </w:rPr>
      </w:pPr>
    </w:p>
    <w:p>
      <w:pPr>
        <w:pStyle w:val="BodyText"/>
        <w:rPr>
          <w:b/>
          <w:sz w:val="26"/>
        </w:rPr>
      </w:pPr>
    </w:p>
    <w:p>
      <w:pPr>
        <w:pStyle w:val="BodyText"/>
        <w:spacing w:before="7"/>
        <w:rPr>
          <w:b/>
          <w:sz w:val="20"/>
        </w:rPr>
      </w:pPr>
    </w:p>
    <w:p>
      <w:pPr>
        <w:pStyle w:val="BodyText"/>
        <w:spacing w:line="360" w:lineRule="auto"/>
        <w:ind w:left="674" w:right="215"/>
        <w:jc w:val="both"/>
      </w:pPr>
      <w:r>
        <w:rPr/>
        <w:t>Se ha demostrado que las propiedades de las espumas sintácticas en matriz metálica dependen en gran medida tanto de la relación t/D de las esferas huecas como de las propiedades de la matriz.</w:t>
      </w:r>
    </w:p>
    <w:p>
      <w:pPr>
        <w:pStyle w:val="BodyText"/>
        <w:rPr>
          <w:sz w:val="20"/>
        </w:rPr>
      </w:pPr>
    </w:p>
    <w:p>
      <w:pPr>
        <w:pStyle w:val="BodyText"/>
        <w:spacing w:before="10"/>
        <w:rPr>
          <w:sz w:val="21"/>
        </w:rPr>
      </w:pPr>
      <w:r>
        <w:rPr/>
        <w:drawing>
          <wp:anchor distT="0" distB="0" distL="0" distR="0" allowOverlap="1" layoutInCell="1" locked="0" behindDoc="0" simplePos="0" relativeHeight="8">
            <wp:simplePos x="0" y="0"/>
            <wp:positionH relativeFrom="page">
              <wp:posOffset>1741932</wp:posOffset>
            </wp:positionH>
            <wp:positionV relativeFrom="paragraph">
              <wp:posOffset>184998</wp:posOffset>
            </wp:positionV>
            <wp:extent cx="4572000" cy="3429000"/>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3" cstate="print"/>
                    <a:stretch>
                      <a:fillRect/>
                    </a:stretch>
                  </pic:blipFill>
                  <pic:spPr>
                    <a:xfrm>
                      <a:off x="0" y="0"/>
                      <a:ext cx="4572000" cy="3429000"/>
                    </a:xfrm>
                    <a:prstGeom prst="rect">
                      <a:avLst/>
                    </a:prstGeom>
                  </pic:spPr>
                </pic:pic>
              </a:graphicData>
            </a:graphic>
          </wp:anchor>
        </w:drawing>
      </w:r>
    </w:p>
    <w:p>
      <w:pPr>
        <w:pStyle w:val="BodyText"/>
        <w:rPr>
          <w:sz w:val="26"/>
        </w:rPr>
      </w:pPr>
    </w:p>
    <w:p>
      <w:pPr>
        <w:pStyle w:val="BodyText"/>
        <w:rPr>
          <w:sz w:val="26"/>
        </w:rPr>
      </w:pPr>
    </w:p>
    <w:p>
      <w:pPr>
        <w:spacing w:line="259" w:lineRule="auto" w:before="171"/>
        <w:ind w:left="674" w:right="183" w:firstLine="0"/>
        <w:jc w:val="both"/>
        <w:rPr>
          <w:b/>
          <w:sz w:val="18"/>
        </w:rPr>
      </w:pPr>
      <w:r>
        <w:rPr>
          <w:b/>
          <w:sz w:val="18"/>
        </w:rPr>
        <w:t>FIG.</w:t>
      </w:r>
      <w:r>
        <w:rPr>
          <w:b/>
          <w:spacing w:val="-3"/>
          <w:sz w:val="18"/>
        </w:rPr>
        <w:t> </w:t>
      </w:r>
      <w:r>
        <w:rPr>
          <w:b/>
          <w:sz w:val="18"/>
        </w:rPr>
        <w:t>5.</w:t>
      </w:r>
      <w:r>
        <w:rPr>
          <w:b/>
          <w:spacing w:val="-4"/>
          <w:sz w:val="18"/>
        </w:rPr>
        <w:t> </w:t>
      </w:r>
      <w:r>
        <w:rPr>
          <w:b/>
          <w:sz w:val="18"/>
        </w:rPr>
        <w:t>Microestructuras</w:t>
      </w:r>
      <w:r>
        <w:rPr>
          <w:b/>
          <w:spacing w:val="-4"/>
          <w:sz w:val="18"/>
        </w:rPr>
        <w:t> </w:t>
      </w:r>
      <w:r>
        <w:rPr>
          <w:b/>
          <w:sz w:val="18"/>
        </w:rPr>
        <w:t>representativas</w:t>
      </w:r>
      <w:r>
        <w:rPr>
          <w:b/>
          <w:spacing w:val="-4"/>
          <w:sz w:val="18"/>
        </w:rPr>
        <w:t> </w:t>
      </w:r>
      <w:r>
        <w:rPr>
          <w:b/>
          <w:sz w:val="18"/>
        </w:rPr>
        <w:t>de</w:t>
      </w:r>
      <w:r>
        <w:rPr>
          <w:b/>
          <w:spacing w:val="-4"/>
          <w:sz w:val="18"/>
        </w:rPr>
        <w:t> </w:t>
      </w:r>
      <w:r>
        <w:rPr>
          <w:b/>
          <w:sz w:val="18"/>
        </w:rPr>
        <w:t>Al-A206</w:t>
      </w:r>
      <w:r>
        <w:rPr>
          <w:b/>
          <w:spacing w:val="-2"/>
          <w:sz w:val="18"/>
        </w:rPr>
        <w:t> </w:t>
      </w:r>
      <w:r>
        <w:rPr>
          <w:b/>
          <w:sz w:val="18"/>
        </w:rPr>
        <w:t>sin</w:t>
      </w:r>
      <w:r>
        <w:rPr>
          <w:b/>
          <w:spacing w:val="-4"/>
          <w:sz w:val="18"/>
        </w:rPr>
        <w:t> </w:t>
      </w:r>
      <w:r>
        <w:rPr>
          <w:b/>
          <w:sz w:val="18"/>
        </w:rPr>
        <w:t>refuerzo</w:t>
      </w:r>
      <w:r>
        <w:rPr>
          <w:b/>
          <w:spacing w:val="-4"/>
          <w:sz w:val="18"/>
        </w:rPr>
        <w:t> </w:t>
      </w:r>
      <w:r>
        <w:rPr>
          <w:b/>
          <w:sz w:val="18"/>
        </w:rPr>
        <w:t>en:</w:t>
      </w:r>
      <w:r>
        <w:rPr>
          <w:b/>
          <w:spacing w:val="-7"/>
          <w:sz w:val="18"/>
        </w:rPr>
        <w:t> </w:t>
      </w:r>
      <w:r>
        <w:rPr>
          <w:b/>
          <w:sz w:val="18"/>
        </w:rPr>
        <w:t>a)</w:t>
      </w:r>
      <w:r>
        <w:rPr>
          <w:b/>
          <w:spacing w:val="-2"/>
          <w:sz w:val="18"/>
        </w:rPr>
        <w:t> </w:t>
      </w:r>
      <w:r>
        <w:rPr>
          <w:b/>
          <w:sz w:val="18"/>
        </w:rPr>
        <w:t>recién</w:t>
      </w:r>
      <w:r>
        <w:rPr>
          <w:b/>
          <w:spacing w:val="-4"/>
          <w:sz w:val="18"/>
        </w:rPr>
        <w:t> </w:t>
      </w:r>
      <w:r>
        <w:rPr>
          <w:b/>
          <w:sz w:val="18"/>
        </w:rPr>
        <w:t>colada</w:t>
      </w:r>
      <w:r>
        <w:rPr>
          <w:b/>
          <w:spacing w:val="-1"/>
          <w:sz w:val="18"/>
        </w:rPr>
        <w:t> </w:t>
      </w:r>
      <w:r>
        <w:rPr>
          <w:b/>
          <w:sz w:val="18"/>
        </w:rPr>
        <w:t>y</w:t>
      </w:r>
      <w:r>
        <w:rPr>
          <w:b/>
          <w:spacing w:val="-16"/>
          <w:sz w:val="18"/>
        </w:rPr>
        <w:t> </w:t>
      </w:r>
      <w:r>
        <w:rPr>
          <w:b/>
          <w:sz w:val="18"/>
        </w:rPr>
        <w:t>c)</w:t>
      </w:r>
      <w:r>
        <w:rPr>
          <w:b/>
          <w:spacing w:val="-3"/>
          <w:sz w:val="18"/>
        </w:rPr>
        <w:t> </w:t>
      </w:r>
      <w:r>
        <w:rPr>
          <w:b/>
          <w:sz w:val="18"/>
        </w:rPr>
        <w:t>condición</w:t>
      </w:r>
      <w:r>
        <w:rPr>
          <w:b/>
          <w:spacing w:val="-2"/>
          <w:sz w:val="18"/>
        </w:rPr>
        <w:t> </w:t>
      </w:r>
      <w:r>
        <w:rPr>
          <w:b/>
          <w:sz w:val="18"/>
        </w:rPr>
        <w:t>T4;</w:t>
      </w:r>
      <w:r>
        <w:rPr>
          <w:b/>
          <w:spacing w:val="-3"/>
          <w:sz w:val="18"/>
        </w:rPr>
        <w:t> </w:t>
      </w:r>
      <w:r>
        <w:rPr>
          <w:b/>
          <w:sz w:val="18"/>
        </w:rPr>
        <w:t>y sus</w:t>
      </w:r>
      <w:r>
        <w:rPr>
          <w:b/>
          <w:spacing w:val="-6"/>
          <w:sz w:val="18"/>
        </w:rPr>
        <w:t> </w:t>
      </w:r>
      <w:r>
        <w:rPr>
          <w:b/>
          <w:sz w:val="18"/>
        </w:rPr>
        <w:t>respectivas</w:t>
      </w:r>
      <w:r>
        <w:rPr>
          <w:b/>
          <w:spacing w:val="-5"/>
          <w:sz w:val="18"/>
        </w:rPr>
        <w:t> </w:t>
      </w:r>
      <w:r>
        <w:rPr>
          <w:b/>
          <w:sz w:val="18"/>
        </w:rPr>
        <w:t>espumas</w:t>
      </w:r>
      <w:r>
        <w:rPr>
          <w:b/>
          <w:spacing w:val="-6"/>
          <w:sz w:val="18"/>
        </w:rPr>
        <w:t> </w:t>
      </w:r>
      <w:r>
        <w:rPr>
          <w:b/>
          <w:sz w:val="18"/>
        </w:rPr>
        <w:t>sintácticas</w:t>
      </w:r>
      <w:r>
        <w:rPr>
          <w:b/>
          <w:spacing w:val="-7"/>
          <w:sz w:val="18"/>
        </w:rPr>
        <w:t> </w:t>
      </w:r>
      <w:r>
        <w:rPr>
          <w:b/>
          <w:sz w:val="18"/>
        </w:rPr>
        <w:t>Al-A206/SiC</w:t>
      </w:r>
      <w:r>
        <w:rPr>
          <w:b/>
          <w:spacing w:val="-6"/>
          <w:sz w:val="18"/>
        </w:rPr>
        <w:t> </w:t>
      </w:r>
      <w:r>
        <w:rPr>
          <w:b/>
          <w:sz w:val="18"/>
        </w:rPr>
        <w:t>sintetizadas</w:t>
      </w:r>
      <w:r>
        <w:rPr>
          <w:b/>
          <w:spacing w:val="-8"/>
          <w:sz w:val="18"/>
        </w:rPr>
        <w:t> </w:t>
      </w:r>
      <w:r>
        <w:rPr>
          <w:b/>
          <w:sz w:val="18"/>
        </w:rPr>
        <w:t>en:</w:t>
      </w:r>
      <w:r>
        <w:rPr>
          <w:b/>
          <w:spacing w:val="-10"/>
          <w:sz w:val="18"/>
        </w:rPr>
        <w:t> </w:t>
      </w:r>
      <w:r>
        <w:rPr>
          <w:b/>
          <w:sz w:val="18"/>
        </w:rPr>
        <w:t>b)</w:t>
      </w:r>
      <w:r>
        <w:rPr>
          <w:b/>
          <w:spacing w:val="-8"/>
          <w:sz w:val="18"/>
        </w:rPr>
        <w:t> </w:t>
      </w:r>
      <w:r>
        <w:rPr>
          <w:b/>
          <w:sz w:val="18"/>
        </w:rPr>
        <w:t>recién</w:t>
      </w:r>
      <w:r>
        <w:rPr>
          <w:b/>
          <w:spacing w:val="-7"/>
          <w:sz w:val="18"/>
        </w:rPr>
        <w:t> </w:t>
      </w:r>
      <w:r>
        <w:rPr>
          <w:b/>
          <w:sz w:val="18"/>
        </w:rPr>
        <w:t>colada</w:t>
      </w:r>
      <w:r>
        <w:rPr>
          <w:b/>
          <w:spacing w:val="-4"/>
          <w:sz w:val="18"/>
        </w:rPr>
        <w:t> </w:t>
      </w:r>
      <w:r>
        <w:rPr>
          <w:b/>
          <w:sz w:val="18"/>
        </w:rPr>
        <w:t>y</w:t>
      </w:r>
      <w:r>
        <w:rPr>
          <w:b/>
          <w:spacing w:val="-16"/>
          <w:sz w:val="18"/>
        </w:rPr>
        <w:t> </w:t>
      </w:r>
      <w:r>
        <w:rPr>
          <w:b/>
          <w:sz w:val="18"/>
        </w:rPr>
        <w:t>d)</w:t>
      </w:r>
      <w:r>
        <w:rPr>
          <w:b/>
          <w:spacing w:val="-6"/>
          <w:sz w:val="18"/>
        </w:rPr>
        <w:t> </w:t>
      </w:r>
      <w:r>
        <w:rPr>
          <w:b/>
          <w:sz w:val="18"/>
        </w:rPr>
        <w:t>condición</w:t>
      </w:r>
      <w:r>
        <w:rPr>
          <w:b/>
          <w:spacing w:val="-7"/>
          <w:sz w:val="18"/>
        </w:rPr>
        <w:t> </w:t>
      </w:r>
      <w:r>
        <w:rPr>
          <w:b/>
          <w:sz w:val="18"/>
        </w:rPr>
        <w:t>T4.</w:t>
      </w:r>
      <w:r>
        <w:rPr>
          <w:b/>
          <w:spacing w:val="-6"/>
          <w:sz w:val="18"/>
        </w:rPr>
        <w:t> </w:t>
      </w:r>
      <w:r>
        <w:rPr>
          <w:b/>
          <w:spacing w:val="-3"/>
          <w:sz w:val="18"/>
        </w:rPr>
        <w:t>Las </w:t>
      </w:r>
      <w:r>
        <w:rPr>
          <w:b/>
          <w:sz w:val="18"/>
        </w:rPr>
        <w:t>fases únicas y características micro-estructurales visibles en estas micrografías tienen la siguiente nomenclatura: i. Al-</w:t>
      </w:r>
      <w:r>
        <w:rPr>
          <w:sz w:val="18"/>
        </w:rPr>
        <w:t>α</w:t>
      </w:r>
      <w:r>
        <w:rPr>
          <w:b/>
          <w:sz w:val="18"/>
        </w:rPr>
        <w:t>, ii. intermetálico brillante (típico del A206), iii. intermetálico oscuro (probablemente presente debido a la disolución del Fe), iv. porosidad, </w:t>
      </w:r>
      <w:r>
        <w:rPr>
          <w:b/>
          <w:spacing w:val="-3"/>
          <w:sz w:val="18"/>
        </w:rPr>
        <w:t>v. </w:t>
      </w:r>
      <w:r>
        <w:rPr>
          <w:b/>
          <w:sz w:val="18"/>
        </w:rPr>
        <w:t>pared </w:t>
      </w:r>
      <w:r>
        <w:rPr>
          <w:b/>
          <w:spacing w:val="-3"/>
          <w:sz w:val="18"/>
        </w:rPr>
        <w:t>de </w:t>
      </w:r>
      <w:r>
        <w:rPr>
          <w:b/>
          <w:sz w:val="18"/>
        </w:rPr>
        <w:t>la esfera hueca de SiC, vi. poro hueco dentro de la esfera de</w:t>
      </w:r>
      <w:r>
        <w:rPr>
          <w:b/>
          <w:spacing w:val="-2"/>
          <w:sz w:val="18"/>
        </w:rPr>
        <w:t> </w:t>
      </w:r>
      <w:r>
        <w:rPr>
          <w:b/>
          <w:sz w:val="18"/>
        </w:rPr>
        <w:t>SiC.</w:t>
      </w:r>
    </w:p>
    <w:p>
      <w:pPr>
        <w:spacing w:after="0" w:line="259" w:lineRule="auto"/>
        <w:jc w:val="both"/>
        <w:rPr>
          <w:sz w:val="18"/>
        </w:rPr>
        <w:sectPr>
          <w:footerReference w:type="default" r:id="rId12"/>
          <w:pgSz w:w="12240" w:h="15840"/>
          <w:pgMar w:footer="1869" w:header="0" w:top="1500" w:bottom="2060" w:left="1520" w:right="940"/>
          <w:pgNumType w:start="31"/>
        </w:sectPr>
      </w:pPr>
    </w:p>
    <w:p>
      <w:pPr>
        <w:pStyle w:val="BodyText"/>
        <w:rPr>
          <w:b/>
          <w:sz w:val="20"/>
        </w:rPr>
      </w:pPr>
    </w:p>
    <w:p>
      <w:pPr>
        <w:pStyle w:val="BodyText"/>
        <w:rPr>
          <w:b/>
          <w:sz w:val="20"/>
        </w:rPr>
      </w:pPr>
    </w:p>
    <w:p>
      <w:pPr>
        <w:pStyle w:val="BodyText"/>
        <w:rPr>
          <w:b/>
          <w:sz w:val="20"/>
        </w:rPr>
      </w:pPr>
    </w:p>
    <w:p>
      <w:pPr>
        <w:pStyle w:val="BodyText"/>
        <w:spacing w:line="360" w:lineRule="auto" w:before="223"/>
        <w:ind w:left="674" w:firstLine="336"/>
      </w:pPr>
      <w:r>
        <w:rPr/>
        <w:t>Algunas de las características de la matriz que afectarán las propiedades de la espuma incluyen:</w:t>
      </w:r>
    </w:p>
    <w:p>
      <w:pPr>
        <w:pStyle w:val="BodyText"/>
        <w:rPr>
          <w:sz w:val="26"/>
        </w:rPr>
      </w:pPr>
    </w:p>
    <w:p>
      <w:pPr>
        <w:pStyle w:val="BodyText"/>
        <w:spacing w:before="8"/>
        <w:rPr>
          <w:sz w:val="25"/>
        </w:rPr>
      </w:pPr>
    </w:p>
    <w:p>
      <w:pPr>
        <w:pStyle w:val="ListParagraph"/>
        <w:numPr>
          <w:ilvl w:val="0"/>
          <w:numId w:val="18"/>
        </w:numPr>
        <w:tabs>
          <w:tab w:pos="826" w:val="left" w:leader="none"/>
        </w:tabs>
        <w:spacing w:line="360" w:lineRule="auto" w:before="0" w:after="0"/>
        <w:ind w:left="674" w:right="949" w:firstLine="0"/>
        <w:jc w:val="left"/>
        <w:rPr>
          <w:sz w:val="24"/>
        </w:rPr>
      </w:pPr>
      <w:r>
        <w:rPr>
          <w:sz w:val="24"/>
        </w:rPr>
        <w:t>La presencia de defectos en la matriz tales como las porosidades no deseadas o</w:t>
      </w:r>
      <w:r>
        <w:rPr>
          <w:spacing w:val="-5"/>
          <w:sz w:val="24"/>
        </w:rPr>
        <w:t> </w:t>
      </w:r>
      <w:r>
        <w:rPr>
          <w:sz w:val="24"/>
        </w:rPr>
        <w:t>inclusiones.</w:t>
      </w:r>
    </w:p>
    <w:p>
      <w:pPr>
        <w:pStyle w:val="BodyText"/>
        <w:rPr>
          <w:sz w:val="26"/>
        </w:rPr>
      </w:pPr>
    </w:p>
    <w:p>
      <w:pPr>
        <w:pStyle w:val="BodyText"/>
        <w:spacing w:before="11"/>
        <w:rPr>
          <w:sz w:val="37"/>
        </w:rPr>
      </w:pPr>
    </w:p>
    <w:p>
      <w:pPr>
        <w:pStyle w:val="ListParagraph"/>
        <w:numPr>
          <w:ilvl w:val="0"/>
          <w:numId w:val="18"/>
        </w:numPr>
        <w:tabs>
          <w:tab w:pos="826" w:val="left" w:leader="none"/>
        </w:tabs>
        <w:spacing w:line="360" w:lineRule="auto" w:before="0" w:after="0"/>
        <w:ind w:left="674" w:right="295" w:firstLine="0"/>
        <w:jc w:val="left"/>
        <w:rPr>
          <w:sz w:val="24"/>
        </w:rPr>
      </w:pPr>
      <w:r>
        <w:rPr>
          <w:sz w:val="24"/>
        </w:rPr>
        <w:t>La composición de la matriz final, especialmente en aquellos casos en que la matriz reacciona con las esferas de</w:t>
      </w:r>
      <w:r>
        <w:rPr>
          <w:spacing w:val="-10"/>
          <w:sz w:val="24"/>
        </w:rPr>
        <w:t> </w:t>
      </w:r>
      <w:r>
        <w:rPr>
          <w:sz w:val="24"/>
        </w:rPr>
        <w:t>refuerzo.</w:t>
      </w:r>
    </w:p>
    <w:p>
      <w:pPr>
        <w:pStyle w:val="BodyText"/>
        <w:rPr>
          <w:sz w:val="26"/>
        </w:rPr>
      </w:pPr>
    </w:p>
    <w:p>
      <w:pPr>
        <w:pStyle w:val="BodyText"/>
        <w:spacing w:before="9"/>
        <w:rPr>
          <w:sz w:val="26"/>
        </w:rPr>
      </w:pPr>
    </w:p>
    <w:p>
      <w:pPr>
        <w:pStyle w:val="ListParagraph"/>
        <w:numPr>
          <w:ilvl w:val="0"/>
          <w:numId w:val="18"/>
        </w:numPr>
        <w:tabs>
          <w:tab w:pos="826" w:val="left" w:leader="none"/>
        </w:tabs>
        <w:spacing w:line="240" w:lineRule="auto" w:before="0" w:after="0"/>
        <w:ind w:left="825" w:right="0" w:hanging="152"/>
        <w:jc w:val="left"/>
        <w:rPr>
          <w:sz w:val="24"/>
        </w:rPr>
      </w:pPr>
      <w:r>
        <w:rPr>
          <w:sz w:val="24"/>
        </w:rPr>
        <w:t>El tamaño de grano de la</w:t>
      </w:r>
      <w:r>
        <w:rPr>
          <w:spacing w:val="-8"/>
          <w:sz w:val="24"/>
        </w:rPr>
        <w:t> </w:t>
      </w:r>
      <w:r>
        <w:rPr>
          <w:sz w:val="24"/>
        </w:rPr>
        <w:t>microestructura.</w:t>
      </w:r>
    </w:p>
    <w:p>
      <w:pPr>
        <w:pStyle w:val="BodyText"/>
        <w:rPr>
          <w:sz w:val="26"/>
        </w:rPr>
      </w:pPr>
    </w:p>
    <w:p>
      <w:pPr>
        <w:pStyle w:val="BodyText"/>
        <w:rPr>
          <w:sz w:val="26"/>
        </w:rPr>
      </w:pPr>
    </w:p>
    <w:p>
      <w:pPr>
        <w:pStyle w:val="BodyText"/>
        <w:spacing w:before="2"/>
        <w:rPr>
          <w:sz w:val="29"/>
        </w:rPr>
      </w:pPr>
    </w:p>
    <w:p>
      <w:pPr>
        <w:pStyle w:val="ListParagraph"/>
        <w:numPr>
          <w:ilvl w:val="0"/>
          <w:numId w:val="18"/>
        </w:numPr>
        <w:tabs>
          <w:tab w:pos="826" w:val="left" w:leader="none"/>
        </w:tabs>
        <w:spacing w:line="360" w:lineRule="auto" w:before="1" w:after="0"/>
        <w:ind w:left="674" w:right="437" w:firstLine="0"/>
        <w:jc w:val="both"/>
        <w:rPr>
          <w:sz w:val="24"/>
        </w:rPr>
      </w:pPr>
      <w:r>
        <w:rPr>
          <w:sz w:val="24"/>
        </w:rPr>
        <w:t>La distribución de fases que se forman como resultado de </w:t>
      </w:r>
      <w:r>
        <w:rPr>
          <w:spacing w:val="-3"/>
          <w:sz w:val="24"/>
        </w:rPr>
        <w:t>la </w:t>
      </w:r>
      <w:r>
        <w:rPr>
          <w:sz w:val="24"/>
        </w:rPr>
        <w:t>secuencia de solidificación, tanto en el caso de los materiales compuestos fundidos y colados, como en aquellos resultantes de algún tratamiento</w:t>
      </w:r>
      <w:r>
        <w:rPr>
          <w:spacing w:val="-7"/>
          <w:sz w:val="24"/>
        </w:rPr>
        <w:t> </w:t>
      </w:r>
      <w:r>
        <w:rPr>
          <w:sz w:val="24"/>
        </w:rPr>
        <w:t>térmico.</w:t>
      </w:r>
    </w:p>
    <w:p>
      <w:pPr>
        <w:pStyle w:val="BodyText"/>
        <w:rPr>
          <w:sz w:val="26"/>
        </w:rPr>
      </w:pPr>
    </w:p>
    <w:p>
      <w:pPr>
        <w:pStyle w:val="BodyText"/>
        <w:spacing w:before="7"/>
        <w:rPr>
          <w:sz w:val="37"/>
        </w:rPr>
      </w:pPr>
    </w:p>
    <w:p>
      <w:pPr>
        <w:spacing w:before="1"/>
        <w:ind w:left="674" w:right="344" w:firstLine="0"/>
        <w:jc w:val="left"/>
        <w:rPr>
          <w:b/>
          <w:sz w:val="18"/>
        </w:rPr>
      </w:pPr>
      <w:r>
        <w:rPr>
          <w:b/>
          <w:sz w:val="18"/>
        </w:rPr>
        <w:t>TABLA II. Composiciones de las diferentes fases formadas en las aleaciones Al-A206 y Mg-AZ91 (bajo las mismas condiciones que las espumas sintácticas) analizadas mediante SEM/EDS. Los</w:t>
      </w:r>
    </w:p>
    <w:p>
      <w:pPr>
        <w:spacing w:before="157"/>
        <w:ind w:left="674" w:right="0" w:firstLine="0"/>
        <w:jc w:val="left"/>
        <w:rPr>
          <w:b/>
          <w:sz w:val="18"/>
        </w:rPr>
      </w:pPr>
      <w:r>
        <w:rPr>
          <w:b/>
          <w:sz w:val="18"/>
        </w:rPr>
        <w:t>números romanos en la primera columna se refieren a las anotaciones mostradas en la Figura 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after="1"/>
        <w:rPr>
          <w:b/>
          <w:sz w:val="13"/>
        </w:rPr>
      </w:pPr>
    </w:p>
    <w:tbl>
      <w:tblPr>
        <w:tblW w:w="0" w:type="auto"/>
        <w:jc w:val="left"/>
        <w:tblInd w:w="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3"/>
        <w:gridCol w:w="1455"/>
        <w:gridCol w:w="798"/>
        <w:gridCol w:w="699"/>
        <w:gridCol w:w="696"/>
        <w:gridCol w:w="743"/>
        <w:gridCol w:w="700"/>
        <w:gridCol w:w="680"/>
        <w:gridCol w:w="749"/>
      </w:tblGrid>
      <w:tr>
        <w:trPr>
          <w:trHeight w:val="452" w:hRule="atLeast"/>
        </w:trPr>
        <w:tc>
          <w:tcPr>
            <w:tcW w:w="643" w:type="dxa"/>
            <w:tcBorders>
              <w:top w:val="single" w:sz="12" w:space="0" w:color="000000"/>
            </w:tcBorders>
          </w:tcPr>
          <w:p>
            <w:pPr>
              <w:pStyle w:val="TableParagraph"/>
              <w:spacing w:line="227" w:lineRule="exact"/>
              <w:ind w:left="110"/>
              <w:rPr>
                <w:sz w:val="20"/>
              </w:rPr>
            </w:pPr>
            <w:r>
              <w:rPr>
                <w:sz w:val="20"/>
              </w:rPr>
              <w:t>Area</w:t>
            </w:r>
          </w:p>
        </w:tc>
        <w:tc>
          <w:tcPr>
            <w:tcW w:w="1455" w:type="dxa"/>
            <w:tcBorders>
              <w:top w:val="single" w:sz="12" w:space="0" w:color="000000"/>
            </w:tcBorders>
          </w:tcPr>
          <w:p>
            <w:pPr>
              <w:pStyle w:val="TableParagraph"/>
              <w:spacing w:line="227" w:lineRule="exact"/>
              <w:ind w:left="113"/>
              <w:rPr>
                <w:sz w:val="20"/>
              </w:rPr>
            </w:pPr>
            <w:r>
              <w:rPr>
                <w:sz w:val="20"/>
              </w:rPr>
              <w:t>Matriz</w:t>
            </w:r>
          </w:p>
        </w:tc>
        <w:tc>
          <w:tcPr>
            <w:tcW w:w="798" w:type="dxa"/>
            <w:tcBorders>
              <w:top w:val="single" w:sz="12" w:space="0" w:color="000000"/>
            </w:tcBorders>
          </w:tcPr>
          <w:p>
            <w:pPr>
              <w:pStyle w:val="TableParagraph"/>
              <w:spacing w:line="227" w:lineRule="exact"/>
              <w:ind w:left="187"/>
              <w:rPr>
                <w:sz w:val="20"/>
              </w:rPr>
            </w:pPr>
            <w:r>
              <w:rPr>
                <w:sz w:val="20"/>
              </w:rPr>
              <w:t>Al</w:t>
            </w:r>
          </w:p>
          <w:p>
            <w:pPr>
              <w:pStyle w:val="TableParagraph"/>
              <w:tabs>
                <w:tab w:pos="187" w:val="left" w:leader="none"/>
                <w:tab w:pos="909" w:val="left" w:leader="none"/>
              </w:tabs>
              <w:spacing w:line="206" w:lineRule="exact"/>
              <w:ind w:left="-2098" w:right="-116"/>
              <w:rPr>
                <w:sz w:val="20"/>
              </w:rPr>
            </w:pPr>
            <w:r>
              <w:rPr>
                <w:w w:val="94"/>
                <w:sz w:val="20"/>
                <w:u w:val="single"/>
              </w:rPr>
              <w:t> </w:t>
            </w:r>
            <w:r>
              <w:rPr>
                <w:sz w:val="20"/>
                <w:u w:val="single"/>
              </w:rPr>
              <w:tab/>
              <w:t>(at%)</w:t>
              <w:tab/>
            </w:r>
          </w:p>
        </w:tc>
        <w:tc>
          <w:tcPr>
            <w:tcW w:w="699" w:type="dxa"/>
            <w:tcBorders>
              <w:top w:val="single" w:sz="12" w:space="0" w:color="000000"/>
            </w:tcBorders>
          </w:tcPr>
          <w:p>
            <w:pPr>
              <w:pStyle w:val="TableParagraph"/>
              <w:tabs>
                <w:tab w:pos="810" w:val="left" w:leader="none"/>
              </w:tabs>
              <w:spacing w:line="226" w:lineRule="exact" w:before="6"/>
              <w:ind w:left="111" w:right="-116"/>
              <w:rPr>
                <w:sz w:val="20"/>
              </w:rPr>
            </w:pPr>
            <w:r>
              <w:rPr>
                <w:sz w:val="20"/>
              </w:rPr>
              <w:t>Fe </w:t>
            </w:r>
            <w:r>
              <w:rPr>
                <w:sz w:val="20"/>
                <w:u w:val="single"/>
              </w:rPr>
              <w:t>(at%)</w:t>
              <w:tab/>
            </w:r>
          </w:p>
        </w:tc>
        <w:tc>
          <w:tcPr>
            <w:tcW w:w="696" w:type="dxa"/>
            <w:tcBorders>
              <w:top w:val="single" w:sz="12" w:space="0" w:color="000000"/>
            </w:tcBorders>
          </w:tcPr>
          <w:p>
            <w:pPr>
              <w:pStyle w:val="TableParagraph"/>
              <w:tabs>
                <w:tab w:pos="829" w:val="left" w:leader="none"/>
              </w:tabs>
              <w:spacing w:line="226" w:lineRule="exact" w:before="6"/>
              <w:ind w:left="111" w:right="-144"/>
              <w:rPr>
                <w:sz w:val="20"/>
              </w:rPr>
            </w:pPr>
            <w:r>
              <w:rPr>
                <w:sz w:val="20"/>
              </w:rPr>
              <w:t>Mg </w:t>
            </w:r>
            <w:r>
              <w:rPr>
                <w:sz w:val="20"/>
                <w:u w:val="single"/>
              </w:rPr>
              <w:t>(at%)</w:t>
              <w:tab/>
            </w:r>
          </w:p>
        </w:tc>
        <w:tc>
          <w:tcPr>
            <w:tcW w:w="743" w:type="dxa"/>
            <w:tcBorders>
              <w:top w:val="single" w:sz="12" w:space="0" w:color="000000"/>
            </w:tcBorders>
          </w:tcPr>
          <w:p>
            <w:pPr>
              <w:pStyle w:val="TableParagraph"/>
              <w:tabs>
                <w:tab w:pos="850" w:val="left" w:leader="none"/>
              </w:tabs>
              <w:spacing w:line="226" w:lineRule="exact" w:before="6"/>
              <w:ind w:left="133" w:right="-116"/>
              <w:rPr>
                <w:sz w:val="20"/>
              </w:rPr>
            </w:pPr>
            <w:r>
              <w:rPr>
                <w:sz w:val="20"/>
              </w:rPr>
              <w:t>Cu </w:t>
            </w:r>
            <w:r>
              <w:rPr>
                <w:sz w:val="20"/>
                <w:u w:val="single"/>
              </w:rPr>
              <w:t>(at%)</w:t>
              <w:tab/>
            </w:r>
          </w:p>
        </w:tc>
        <w:tc>
          <w:tcPr>
            <w:tcW w:w="700" w:type="dxa"/>
            <w:tcBorders>
              <w:top w:val="single" w:sz="12" w:space="0" w:color="000000"/>
            </w:tcBorders>
          </w:tcPr>
          <w:p>
            <w:pPr>
              <w:pStyle w:val="TableParagraph"/>
              <w:tabs>
                <w:tab w:pos="810" w:val="left" w:leader="none"/>
              </w:tabs>
              <w:spacing w:line="226" w:lineRule="exact" w:before="6"/>
              <w:ind w:left="107" w:right="-116"/>
              <w:rPr>
                <w:sz w:val="20"/>
              </w:rPr>
            </w:pPr>
            <w:r>
              <w:rPr>
                <w:sz w:val="20"/>
              </w:rPr>
              <w:t>Zn </w:t>
            </w:r>
            <w:r>
              <w:rPr>
                <w:sz w:val="20"/>
                <w:u w:val="single"/>
              </w:rPr>
              <w:t>(at%)</w:t>
              <w:tab/>
            </w:r>
          </w:p>
        </w:tc>
        <w:tc>
          <w:tcPr>
            <w:tcW w:w="680" w:type="dxa"/>
            <w:tcBorders>
              <w:top w:val="single" w:sz="12" w:space="0" w:color="000000"/>
            </w:tcBorders>
          </w:tcPr>
          <w:p>
            <w:pPr>
              <w:pStyle w:val="TableParagraph"/>
              <w:spacing w:line="227" w:lineRule="exact"/>
              <w:ind w:left="111"/>
              <w:rPr>
                <w:sz w:val="20"/>
              </w:rPr>
            </w:pPr>
            <w:r>
              <w:rPr>
                <w:sz w:val="20"/>
              </w:rPr>
              <w:t>Mn</w:t>
            </w:r>
          </w:p>
          <w:p>
            <w:pPr>
              <w:pStyle w:val="TableParagraph"/>
              <w:tabs>
                <w:tab w:pos="1424" w:val="left" w:leader="none"/>
              </w:tabs>
              <w:spacing w:line="206" w:lineRule="exact"/>
              <w:ind w:left="111" w:right="-749"/>
              <w:rPr>
                <w:sz w:val="20"/>
              </w:rPr>
            </w:pPr>
            <w:r>
              <w:rPr>
                <w:sz w:val="20"/>
                <w:u w:val="single"/>
              </w:rPr>
              <w:t>(at%</w:t>
              <w:tab/>
            </w:r>
          </w:p>
        </w:tc>
        <w:tc>
          <w:tcPr>
            <w:tcW w:w="749" w:type="dxa"/>
            <w:tcBorders>
              <w:top w:val="single" w:sz="12" w:space="0" w:color="000000"/>
            </w:tcBorders>
          </w:tcPr>
          <w:p>
            <w:pPr>
              <w:pStyle w:val="TableParagraph"/>
              <w:spacing w:line="227" w:lineRule="exact"/>
              <w:ind w:left="151"/>
              <w:rPr>
                <w:sz w:val="20"/>
              </w:rPr>
            </w:pPr>
            <w:r>
              <w:rPr>
                <w:w w:val="99"/>
                <w:sz w:val="20"/>
              </w:rPr>
              <w:t>O</w:t>
            </w:r>
          </w:p>
        </w:tc>
      </w:tr>
      <w:tr>
        <w:trPr>
          <w:trHeight w:val="250" w:hRule="atLeast"/>
        </w:trPr>
        <w:tc>
          <w:tcPr>
            <w:tcW w:w="643" w:type="dxa"/>
          </w:tcPr>
          <w:p>
            <w:pPr>
              <w:pStyle w:val="TableParagraph"/>
              <w:spacing w:line="216" w:lineRule="exact"/>
              <w:ind w:left="110"/>
              <w:rPr>
                <w:sz w:val="20"/>
              </w:rPr>
            </w:pPr>
            <w:r>
              <w:rPr>
                <w:w w:val="99"/>
                <w:sz w:val="20"/>
              </w:rPr>
              <w:t>I</w:t>
            </w:r>
          </w:p>
        </w:tc>
        <w:tc>
          <w:tcPr>
            <w:tcW w:w="1455" w:type="dxa"/>
          </w:tcPr>
          <w:p>
            <w:pPr>
              <w:pStyle w:val="TableParagraph"/>
              <w:spacing w:line="216" w:lineRule="exact"/>
              <w:ind w:left="113"/>
              <w:rPr>
                <w:sz w:val="20"/>
              </w:rPr>
            </w:pPr>
            <w:r>
              <w:rPr>
                <w:sz w:val="20"/>
              </w:rPr>
              <w:t>A206/ colada</w:t>
            </w:r>
          </w:p>
        </w:tc>
        <w:tc>
          <w:tcPr>
            <w:tcW w:w="798" w:type="dxa"/>
          </w:tcPr>
          <w:p>
            <w:pPr>
              <w:pStyle w:val="TableParagraph"/>
              <w:spacing w:line="216" w:lineRule="exact"/>
              <w:ind w:left="166" w:right="90"/>
              <w:jc w:val="center"/>
              <w:rPr>
                <w:sz w:val="20"/>
              </w:rPr>
            </w:pPr>
            <w:r>
              <w:rPr>
                <w:sz w:val="20"/>
              </w:rPr>
              <w:t>98.01</w:t>
            </w:r>
          </w:p>
        </w:tc>
        <w:tc>
          <w:tcPr>
            <w:tcW w:w="699" w:type="dxa"/>
          </w:tcPr>
          <w:p>
            <w:pPr>
              <w:pStyle w:val="TableParagraph"/>
              <w:spacing w:line="216" w:lineRule="exact"/>
              <w:ind w:left="111"/>
              <w:rPr>
                <w:sz w:val="20"/>
              </w:rPr>
            </w:pPr>
            <w:r>
              <w:rPr>
                <w:w w:val="99"/>
                <w:sz w:val="20"/>
              </w:rPr>
              <w:t>0</w:t>
            </w:r>
          </w:p>
        </w:tc>
        <w:tc>
          <w:tcPr>
            <w:tcW w:w="696" w:type="dxa"/>
          </w:tcPr>
          <w:p>
            <w:pPr>
              <w:pStyle w:val="TableParagraph"/>
              <w:spacing w:line="216" w:lineRule="exact"/>
              <w:ind w:left="90" w:right="175"/>
              <w:jc w:val="center"/>
              <w:rPr>
                <w:sz w:val="20"/>
              </w:rPr>
            </w:pPr>
            <w:r>
              <w:rPr>
                <w:sz w:val="20"/>
              </w:rPr>
              <w:t>1.81</w:t>
            </w:r>
          </w:p>
        </w:tc>
        <w:tc>
          <w:tcPr>
            <w:tcW w:w="743" w:type="dxa"/>
          </w:tcPr>
          <w:p>
            <w:pPr>
              <w:pStyle w:val="TableParagraph"/>
              <w:spacing w:line="216" w:lineRule="exact"/>
              <w:ind w:left="133"/>
              <w:rPr>
                <w:sz w:val="20"/>
              </w:rPr>
            </w:pPr>
            <w:r>
              <w:rPr>
                <w:sz w:val="20"/>
              </w:rPr>
              <w:t>0.17</w:t>
            </w:r>
          </w:p>
        </w:tc>
        <w:tc>
          <w:tcPr>
            <w:tcW w:w="700" w:type="dxa"/>
          </w:tcPr>
          <w:p>
            <w:pPr>
              <w:pStyle w:val="TableParagraph"/>
              <w:spacing w:line="216" w:lineRule="exact"/>
              <w:ind w:left="107"/>
              <w:rPr>
                <w:sz w:val="20"/>
              </w:rPr>
            </w:pPr>
            <w:r>
              <w:rPr>
                <w:w w:val="99"/>
                <w:sz w:val="20"/>
              </w:rPr>
              <w:t>0</w:t>
            </w:r>
          </w:p>
        </w:tc>
        <w:tc>
          <w:tcPr>
            <w:tcW w:w="680" w:type="dxa"/>
          </w:tcPr>
          <w:p>
            <w:pPr>
              <w:pStyle w:val="TableParagraph"/>
              <w:spacing w:line="216" w:lineRule="exact"/>
              <w:ind w:left="111"/>
              <w:rPr>
                <w:sz w:val="20"/>
              </w:rPr>
            </w:pPr>
            <w:r>
              <w:rPr>
                <w:w w:val="99"/>
                <w:sz w:val="20"/>
              </w:rPr>
              <w:t>0</w:t>
            </w:r>
          </w:p>
        </w:tc>
        <w:tc>
          <w:tcPr>
            <w:tcW w:w="749" w:type="dxa"/>
          </w:tcPr>
          <w:p>
            <w:pPr>
              <w:pStyle w:val="TableParagraph"/>
              <w:spacing w:line="216" w:lineRule="exact"/>
              <w:ind w:left="151"/>
              <w:rPr>
                <w:sz w:val="20"/>
              </w:rPr>
            </w:pPr>
            <w:r>
              <w:rPr>
                <w:w w:val="99"/>
                <w:sz w:val="20"/>
              </w:rPr>
              <w:t>0</w:t>
            </w:r>
          </w:p>
        </w:tc>
      </w:tr>
      <w:tr>
        <w:trPr>
          <w:trHeight w:val="296" w:hRule="atLeast"/>
        </w:trPr>
        <w:tc>
          <w:tcPr>
            <w:tcW w:w="643" w:type="dxa"/>
          </w:tcPr>
          <w:p>
            <w:pPr>
              <w:pStyle w:val="TableParagraph"/>
              <w:spacing w:before="28"/>
              <w:ind w:left="110"/>
              <w:rPr>
                <w:sz w:val="20"/>
              </w:rPr>
            </w:pPr>
            <w:r>
              <w:rPr>
                <w:sz w:val="20"/>
              </w:rPr>
              <w:t>II</w:t>
            </w:r>
          </w:p>
        </w:tc>
        <w:tc>
          <w:tcPr>
            <w:tcW w:w="1455" w:type="dxa"/>
          </w:tcPr>
          <w:p>
            <w:pPr>
              <w:pStyle w:val="TableParagraph"/>
              <w:spacing w:before="28"/>
              <w:ind w:left="113"/>
              <w:rPr>
                <w:sz w:val="20"/>
              </w:rPr>
            </w:pPr>
            <w:r>
              <w:rPr>
                <w:sz w:val="20"/>
              </w:rPr>
              <w:t>A206/ colada</w:t>
            </w:r>
          </w:p>
        </w:tc>
        <w:tc>
          <w:tcPr>
            <w:tcW w:w="798" w:type="dxa"/>
          </w:tcPr>
          <w:p>
            <w:pPr>
              <w:pStyle w:val="TableParagraph"/>
              <w:spacing w:before="28"/>
              <w:ind w:left="166" w:right="90"/>
              <w:jc w:val="center"/>
              <w:rPr>
                <w:sz w:val="20"/>
              </w:rPr>
            </w:pPr>
            <w:r>
              <w:rPr>
                <w:sz w:val="20"/>
              </w:rPr>
              <w:t>72.23</w:t>
            </w:r>
          </w:p>
        </w:tc>
        <w:tc>
          <w:tcPr>
            <w:tcW w:w="699" w:type="dxa"/>
          </w:tcPr>
          <w:p>
            <w:pPr>
              <w:pStyle w:val="TableParagraph"/>
              <w:spacing w:before="28"/>
              <w:ind w:left="111"/>
              <w:rPr>
                <w:sz w:val="20"/>
              </w:rPr>
            </w:pPr>
            <w:r>
              <w:rPr>
                <w:w w:val="99"/>
                <w:sz w:val="20"/>
              </w:rPr>
              <w:t>0</w:t>
            </w:r>
          </w:p>
        </w:tc>
        <w:tc>
          <w:tcPr>
            <w:tcW w:w="696" w:type="dxa"/>
          </w:tcPr>
          <w:p>
            <w:pPr>
              <w:pStyle w:val="TableParagraph"/>
              <w:spacing w:before="28"/>
              <w:ind w:left="90" w:right="175"/>
              <w:jc w:val="center"/>
              <w:rPr>
                <w:sz w:val="20"/>
              </w:rPr>
            </w:pPr>
            <w:r>
              <w:rPr>
                <w:sz w:val="20"/>
              </w:rPr>
              <w:t>2.08</w:t>
            </w:r>
          </w:p>
        </w:tc>
        <w:tc>
          <w:tcPr>
            <w:tcW w:w="743" w:type="dxa"/>
          </w:tcPr>
          <w:p>
            <w:pPr>
              <w:pStyle w:val="TableParagraph"/>
              <w:spacing w:before="28"/>
              <w:ind w:left="133"/>
              <w:rPr>
                <w:sz w:val="20"/>
              </w:rPr>
            </w:pPr>
            <w:r>
              <w:rPr>
                <w:sz w:val="20"/>
              </w:rPr>
              <w:t>25.69</w:t>
            </w:r>
          </w:p>
        </w:tc>
        <w:tc>
          <w:tcPr>
            <w:tcW w:w="700" w:type="dxa"/>
          </w:tcPr>
          <w:p>
            <w:pPr>
              <w:pStyle w:val="TableParagraph"/>
              <w:spacing w:before="28"/>
              <w:ind w:left="107"/>
              <w:rPr>
                <w:sz w:val="20"/>
              </w:rPr>
            </w:pPr>
            <w:r>
              <w:rPr>
                <w:w w:val="99"/>
                <w:sz w:val="20"/>
              </w:rPr>
              <w:t>0</w:t>
            </w:r>
          </w:p>
        </w:tc>
        <w:tc>
          <w:tcPr>
            <w:tcW w:w="680" w:type="dxa"/>
          </w:tcPr>
          <w:p>
            <w:pPr>
              <w:pStyle w:val="TableParagraph"/>
              <w:spacing w:before="28"/>
              <w:ind w:left="111"/>
              <w:rPr>
                <w:sz w:val="20"/>
              </w:rPr>
            </w:pPr>
            <w:r>
              <w:rPr>
                <w:w w:val="99"/>
                <w:sz w:val="20"/>
              </w:rPr>
              <w:t>0</w:t>
            </w:r>
          </w:p>
        </w:tc>
        <w:tc>
          <w:tcPr>
            <w:tcW w:w="749" w:type="dxa"/>
          </w:tcPr>
          <w:p>
            <w:pPr>
              <w:pStyle w:val="TableParagraph"/>
              <w:spacing w:before="28"/>
              <w:ind w:left="151"/>
              <w:rPr>
                <w:sz w:val="20"/>
              </w:rPr>
            </w:pPr>
            <w:r>
              <w:rPr>
                <w:w w:val="99"/>
                <w:sz w:val="20"/>
              </w:rPr>
              <w:t>0</w:t>
            </w:r>
          </w:p>
        </w:tc>
      </w:tr>
      <w:tr>
        <w:trPr>
          <w:trHeight w:val="346" w:hRule="atLeast"/>
        </w:trPr>
        <w:tc>
          <w:tcPr>
            <w:tcW w:w="643" w:type="dxa"/>
            <w:tcBorders>
              <w:bottom w:val="single" w:sz="4" w:space="0" w:color="000000"/>
            </w:tcBorders>
          </w:tcPr>
          <w:p>
            <w:pPr>
              <w:pStyle w:val="TableParagraph"/>
              <w:spacing w:before="31"/>
              <w:ind w:left="110"/>
              <w:rPr>
                <w:sz w:val="20"/>
              </w:rPr>
            </w:pPr>
            <w:r>
              <w:rPr>
                <w:sz w:val="20"/>
              </w:rPr>
              <w:t>III</w:t>
            </w:r>
          </w:p>
        </w:tc>
        <w:tc>
          <w:tcPr>
            <w:tcW w:w="1455" w:type="dxa"/>
            <w:tcBorders>
              <w:bottom w:val="single" w:sz="4" w:space="0" w:color="000000"/>
            </w:tcBorders>
          </w:tcPr>
          <w:p>
            <w:pPr>
              <w:pStyle w:val="TableParagraph"/>
              <w:spacing w:before="31"/>
              <w:ind w:left="113"/>
              <w:rPr>
                <w:sz w:val="20"/>
              </w:rPr>
            </w:pPr>
            <w:r>
              <w:rPr>
                <w:sz w:val="20"/>
              </w:rPr>
              <w:t>A206/ colada</w:t>
            </w:r>
          </w:p>
        </w:tc>
        <w:tc>
          <w:tcPr>
            <w:tcW w:w="798" w:type="dxa"/>
            <w:tcBorders>
              <w:bottom w:val="single" w:sz="4" w:space="0" w:color="000000"/>
            </w:tcBorders>
          </w:tcPr>
          <w:p>
            <w:pPr>
              <w:pStyle w:val="TableParagraph"/>
              <w:spacing w:before="31"/>
              <w:ind w:left="166" w:right="90"/>
              <w:jc w:val="center"/>
              <w:rPr>
                <w:sz w:val="20"/>
              </w:rPr>
            </w:pPr>
            <w:r>
              <w:rPr>
                <w:sz w:val="20"/>
              </w:rPr>
              <w:t>88.33</w:t>
            </w:r>
          </w:p>
        </w:tc>
        <w:tc>
          <w:tcPr>
            <w:tcW w:w="699" w:type="dxa"/>
            <w:tcBorders>
              <w:bottom w:val="single" w:sz="4" w:space="0" w:color="000000"/>
            </w:tcBorders>
          </w:tcPr>
          <w:p>
            <w:pPr>
              <w:pStyle w:val="TableParagraph"/>
              <w:spacing w:before="31"/>
              <w:ind w:left="111"/>
              <w:rPr>
                <w:sz w:val="20"/>
              </w:rPr>
            </w:pPr>
            <w:r>
              <w:rPr>
                <w:sz w:val="20"/>
              </w:rPr>
              <w:t>4.96</w:t>
            </w:r>
          </w:p>
        </w:tc>
        <w:tc>
          <w:tcPr>
            <w:tcW w:w="696" w:type="dxa"/>
            <w:tcBorders>
              <w:bottom w:val="single" w:sz="4" w:space="0" w:color="000000"/>
            </w:tcBorders>
          </w:tcPr>
          <w:p>
            <w:pPr>
              <w:pStyle w:val="TableParagraph"/>
              <w:spacing w:before="31"/>
              <w:ind w:left="90" w:right="175"/>
              <w:jc w:val="center"/>
              <w:rPr>
                <w:sz w:val="20"/>
              </w:rPr>
            </w:pPr>
            <w:r>
              <w:rPr>
                <w:sz w:val="20"/>
              </w:rPr>
              <w:t>2.15</w:t>
            </w:r>
          </w:p>
        </w:tc>
        <w:tc>
          <w:tcPr>
            <w:tcW w:w="743" w:type="dxa"/>
            <w:tcBorders>
              <w:bottom w:val="single" w:sz="4" w:space="0" w:color="000000"/>
            </w:tcBorders>
          </w:tcPr>
          <w:p>
            <w:pPr>
              <w:pStyle w:val="TableParagraph"/>
              <w:spacing w:before="31"/>
              <w:ind w:left="133"/>
              <w:rPr>
                <w:sz w:val="20"/>
              </w:rPr>
            </w:pPr>
            <w:r>
              <w:rPr>
                <w:sz w:val="20"/>
              </w:rPr>
              <w:t>4.07</w:t>
            </w:r>
          </w:p>
        </w:tc>
        <w:tc>
          <w:tcPr>
            <w:tcW w:w="700" w:type="dxa"/>
            <w:tcBorders>
              <w:bottom w:val="single" w:sz="4" w:space="0" w:color="000000"/>
            </w:tcBorders>
          </w:tcPr>
          <w:p>
            <w:pPr>
              <w:pStyle w:val="TableParagraph"/>
              <w:spacing w:before="31"/>
              <w:ind w:left="107"/>
              <w:rPr>
                <w:sz w:val="20"/>
              </w:rPr>
            </w:pPr>
            <w:r>
              <w:rPr>
                <w:w w:val="99"/>
                <w:sz w:val="20"/>
              </w:rPr>
              <w:t>0</w:t>
            </w:r>
          </w:p>
        </w:tc>
        <w:tc>
          <w:tcPr>
            <w:tcW w:w="680" w:type="dxa"/>
            <w:tcBorders>
              <w:bottom w:val="single" w:sz="4" w:space="0" w:color="000000"/>
            </w:tcBorders>
          </w:tcPr>
          <w:p>
            <w:pPr>
              <w:pStyle w:val="TableParagraph"/>
              <w:spacing w:before="31"/>
              <w:ind w:left="111"/>
              <w:rPr>
                <w:sz w:val="20"/>
              </w:rPr>
            </w:pPr>
            <w:r>
              <w:rPr>
                <w:sz w:val="20"/>
              </w:rPr>
              <w:t>0.49</w:t>
            </w:r>
          </w:p>
        </w:tc>
        <w:tc>
          <w:tcPr>
            <w:tcW w:w="749" w:type="dxa"/>
            <w:tcBorders>
              <w:bottom w:val="single" w:sz="4" w:space="0" w:color="000000"/>
            </w:tcBorders>
          </w:tcPr>
          <w:p>
            <w:pPr>
              <w:pStyle w:val="TableParagraph"/>
              <w:spacing w:before="31"/>
              <w:ind w:left="151"/>
              <w:rPr>
                <w:sz w:val="20"/>
              </w:rPr>
            </w:pPr>
            <w:r>
              <w:rPr>
                <w:w w:val="99"/>
                <w:sz w:val="20"/>
              </w:rPr>
              <w:t>0</w:t>
            </w:r>
          </w:p>
        </w:tc>
      </w:tr>
      <w:tr>
        <w:trPr>
          <w:trHeight w:val="226" w:hRule="atLeast"/>
        </w:trPr>
        <w:tc>
          <w:tcPr>
            <w:tcW w:w="643" w:type="dxa"/>
            <w:tcBorders>
              <w:top w:val="single" w:sz="4" w:space="0" w:color="000000"/>
            </w:tcBorders>
          </w:tcPr>
          <w:p>
            <w:pPr>
              <w:pStyle w:val="TableParagraph"/>
              <w:spacing w:line="207" w:lineRule="exact"/>
              <w:ind w:left="110"/>
              <w:rPr>
                <w:sz w:val="20"/>
              </w:rPr>
            </w:pPr>
            <w:r>
              <w:rPr>
                <w:sz w:val="20"/>
              </w:rPr>
              <w:t>IV</w:t>
            </w:r>
          </w:p>
        </w:tc>
        <w:tc>
          <w:tcPr>
            <w:tcW w:w="1455" w:type="dxa"/>
            <w:tcBorders>
              <w:top w:val="single" w:sz="4" w:space="0" w:color="000000"/>
            </w:tcBorders>
          </w:tcPr>
          <w:p>
            <w:pPr>
              <w:pStyle w:val="TableParagraph"/>
              <w:spacing w:line="207" w:lineRule="exact"/>
              <w:ind w:left="113"/>
              <w:rPr>
                <w:sz w:val="20"/>
              </w:rPr>
            </w:pPr>
            <w:r>
              <w:rPr>
                <w:sz w:val="20"/>
              </w:rPr>
              <w:t>A206/ T4</w:t>
            </w:r>
          </w:p>
        </w:tc>
        <w:tc>
          <w:tcPr>
            <w:tcW w:w="798" w:type="dxa"/>
            <w:tcBorders>
              <w:top w:val="single" w:sz="4" w:space="0" w:color="000000"/>
            </w:tcBorders>
          </w:tcPr>
          <w:p>
            <w:pPr>
              <w:pStyle w:val="TableParagraph"/>
              <w:spacing w:line="207" w:lineRule="exact"/>
              <w:ind w:left="166" w:right="90"/>
              <w:jc w:val="center"/>
              <w:rPr>
                <w:sz w:val="20"/>
              </w:rPr>
            </w:pPr>
            <w:r>
              <w:rPr>
                <w:sz w:val="20"/>
              </w:rPr>
              <w:t>77.40</w:t>
            </w:r>
          </w:p>
        </w:tc>
        <w:tc>
          <w:tcPr>
            <w:tcW w:w="699" w:type="dxa"/>
            <w:tcBorders>
              <w:top w:val="single" w:sz="4" w:space="0" w:color="000000"/>
            </w:tcBorders>
          </w:tcPr>
          <w:p>
            <w:pPr>
              <w:pStyle w:val="TableParagraph"/>
              <w:spacing w:line="207" w:lineRule="exact"/>
              <w:ind w:left="111"/>
              <w:rPr>
                <w:sz w:val="20"/>
              </w:rPr>
            </w:pPr>
            <w:r>
              <w:rPr>
                <w:sz w:val="20"/>
              </w:rPr>
              <w:t>5.41</w:t>
            </w:r>
          </w:p>
        </w:tc>
        <w:tc>
          <w:tcPr>
            <w:tcW w:w="696" w:type="dxa"/>
            <w:tcBorders>
              <w:top w:val="single" w:sz="4" w:space="0" w:color="000000"/>
            </w:tcBorders>
          </w:tcPr>
          <w:p>
            <w:pPr>
              <w:pStyle w:val="TableParagraph"/>
              <w:spacing w:line="207" w:lineRule="exact"/>
              <w:ind w:left="90" w:right="175"/>
              <w:jc w:val="center"/>
              <w:rPr>
                <w:sz w:val="20"/>
              </w:rPr>
            </w:pPr>
            <w:r>
              <w:rPr>
                <w:sz w:val="20"/>
              </w:rPr>
              <w:t>1.67</w:t>
            </w:r>
          </w:p>
        </w:tc>
        <w:tc>
          <w:tcPr>
            <w:tcW w:w="743" w:type="dxa"/>
            <w:tcBorders>
              <w:top w:val="single" w:sz="4" w:space="0" w:color="000000"/>
            </w:tcBorders>
          </w:tcPr>
          <w:p>
            <w:pPr>
              <w:pStyle w:val="TableParagraph"/>
              <w:spacing w:line="207" w:lineRule="exact"/>
              <w:ind w:left="133"/>
              <w:rPr>
                <w:sz w:val="20"/>
              </w:rPr>
            </w:pPr>
            <w:r>
              <w:rPr>
                <w:sz w:val="20"/>
              </w:rPr>
              <w:t>13.75</w:t>
            </w:r>
          </w:p>
        </w:tc>
        <w:tc>
          <w:tcPr>
            <w:tcW w:w="700" w:type="dxa"/>
            <w:tcBorders>
              <w:top w:val="single" w:sz="4" w:space="0" w:color="000000"/>
            </w:tcBorders>
          </w:tcPr>
          <w:p>
            <w:pPr>
              <w:pStyle w:val="TableParagraph"/>
              <w:spacing w:line="207" w:lineRule="exact"/>
              <w:ind w:left="107"/>
              <w:rPr>
                <w:sz w:val="20"/>
              </w:rPr>
            </w:pPr>
            <w:r>
              <w:rPr>
                <w:w w:val="99"/>
                <w:sz w:val="20"/>
              </w:rPr>
              <w:t>0</w:t>
            </w:r>
          </w:p>
        </w:tc>
        <w:tc>
          <w:tcPr>
            <w:tcW w:w="680" w:type="dxa"/>
            <w:tcBorders>
              <w:top w:val="single" w:sz="4" w:space="0" w:color="000000"/>
            </w:tcBorders>
          </w:tcPr>
          <w:p>
            <w:pPr>
              <w:pStyle w:val="TableParagraph"/>
              <w:spacing w:line="207" w:lineRule="exact"/>
              <w:ind w:left="111"/>
              <w:rPr>
                <w:sz w:val="20"/>
              </w:rPr>
            </w:pPr>
            <w:r>
              <w:rPr>
                <w:w w:val="99"/>
                <w:sz w:val="20"/>
              </w:rPr>
              <w:t>0</w:t>
            </w:r>
          </w:p>
        </w:tc>
        <w:tc>
          <w:tcPr>
            <w:tcW w:w="749" w:type="dxa"/>
            <w:tcBorders>
              <w:top w:val="single" w:sz="4" w:space="0" w:color="000000"/>
            </w:tcBorders>
          </w:tcPr>
          <w:p>
            <w:pPr>
              <w:pStyle w:val="TableParagraph"/>
              <w:spacing w:line="207" w:lineRule="exact"/>
              <w:ind w:left="151"/>
              <w:rPr>
                <w:sz w:val="20"/>
              </w:rPr>
            </w:pPr>
            <w:r>
              <w:rPr>
                <w:sz w:val="20"/>
              </w:rPr>
              <w:t>1.78</w:t>
            </w:r>
          </w:p>
        </w:tc>
      </w:tr>
    </w:tbl>
    <w:p>
      <w:pPr>
        <w:spacing w:after="0" w:line="207" w:lineRule="exact"/>
        <w:rPr>
          <w:sz w:val="20"/>
        </w:rPr>
        <w:sectPr>
          <w:pgSz w:w="12240" w:h="15840"/>
          <w:pgMar w:header="0" w:footer="1869" w:top="1500" w:bottom="2060" w:left="1520" w:right="940"/>
        </w:sectPr>
      </w:pPr>
    </w:p>
    <w:tbl>
      <w:tblPr>
        <w:tblW w:w="0" w:type="auto"/>
        <w:jc w:val="left"/>
        <w:tblInd w:w="1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
        <w:gridCol w:w="1521"/>
        <w:gridCol w:w="793"/>
        <w:gridCol w:w="653"/>
        <w:gridCol w:w="764"/>
        <w:gridCol w:w="717"/>
        <w:gridCol w:w="653"/>
        <w:gridCol w:w="711"/>
        <w:gridCol w:w="759"/>
      </w:tblGrid>
      <w:tr>
        <w:trPr>
          <w:trHeight w:val="261" w:hRule="atLeast"/>
        </w:trPr>
        <w:tc>
          <w:tcPr>
            <w:tcW w:w="589" w:type="dxa"/>
          </w:tcPr>
          <w:p>
            <w:pPr>
              <w:pStyle w:val="TableParagraph"/>
              <w:spacing w:line="223" w:lineRule="exact"/>
              <w:ind w:left="117"/>
              <w:rPr>
                <w:sz w:val="20"/>
              </w:rPr>
            </w:pPr>
            <w:r>
              <w:rPr>
                <w:w w:val="99"/>
                <w:sz w:val="20"/>
              </w:rPr>
              <w:t>V</w:t>
            </w:r>
          </w:p>
        </w:tc>
        <w:tc>
          <w:tcPr>
            <w:tcW w:w="1521" w:type="dxa"/>
          </w:tcPr>
          <w:p>
            <w:pPr>
              <w:pStyle w:val="TableParagraph"/>
              <w:spacing w:line="223" w:lineRule="exact"/>
              <w:ind w:left="174"/>
              <w:rPr>
                <w:sz w:val="20"/>
              </w:rPr>
            </w:pPr>
            <w:r>
              <w:rPr>
                <w:sz w:val="20"/>
              </w:rPr>
              <w:t>A206/ T4</w:t>
            </w:r>
          </w:p>
        </w:tc>
        <w:tc>
          <w:tcPr>
            <w:tcW w:w="793" w:type="dxa"/>
          </w:tcPr>
          <w:p>
            <w:pPr>
              <w:pStyle w:val="TableParagraph"/>
              <w:spacing w:line="223" w:lineRule="exact"/>
              <w:ind w:left="182"/>
              <w:rPr>
                <w:sz w:val="20"/>
              </w:rPr>
            </w:pPr>
            <w:r>
              <w:rPr>
                <w:sz w:val="20"/>
              </w:rPr>
              <w:t>74.21</w:t>
            </w:r>
          </w:p>
        </w:tc>
        <w:tc>
          <w:tcPr>
            <w:tcW w:w="653" w:type="dxa"/>
          </w:tcPr>
          <w:p>
            <w:pPr>
              <w:pStyle w:val="TableParagraph"/>
              <w:spacing w:line="223" w:lineRule="exact"/>
              <w:ind w:left="112"/>
              <w:rPr>
                <w:sz w:val="20"/>
              </w:rPr>
            </w:pPr>
            <w:r>
              <w:rPr>
                <w:sz w:val="20"/>
              </w:rPr>
              <w:t>7.43</w:t>
            </w:r>
          </w:p>
        </w:tc>
        <w:tc>
          <w:tcPr>
            <w:tcW w:w="764" w:type="dxa"/>
          </w:tcPr>
          <w:p>
            <w:pPr>
              <w:pStyle w:val="TableParagraph"/>
              <w:spacing w:line="223" w:lineRule="exact"/>
              <w:ind w:left="157"/>
              <w:rPr>
                <w:sz w:val="20"/>
              </w:rPr>
            </w:pPr>
            <w:r>
              <w:rPr>
                <w:sz w:val="20"/>
              </w:rPr>
              <w:t>0.77</w:t>
            </w:r>
          </w:p>
        </w:tc>
        <w:tc>
          <w:tcPr>
            <w:tcW w:w="717" w:type="dxa"/>
          </w:tcPr>
          <w:p>
            <w:pPr>
              <w:pStyle w:val="TableParagraph"/>
              <w:spacing w:line="223" w:lineRule="exact"/>
              <w:ind w:left="111"/>
              <w:rPr>
                <w:sz w:val="20"/>
              </w:rPr>
            </w:pPr>
            <w:r>
              <w:rPr>
                <w:sz w:val="20"/>
              </w:rPr>
              <w:t>15.97</w:t>
            </w:r>
          </w:p>
        </w:tc>
        <w:tc>
          <w:tcPr>
            <w:tcW w:w="653" w:type="dxa"/>
          </w:tcPr>
          <w:p>
            <w:pPr>
              <w:pStyle w:val="TableParagraph"/>
              <w:spacing w:line="223" w:lineRule="exact"/>
              <w:ind w:left="112"/>
              <w:rPr>
                <w:sz w:val="20"/>
              </w:rPr>
            </w:pPr>
            <w:r>
              <w:rPr>
                <w:w w:val="99"/>
                <w:sz w:val="20"/>
              </w:rPr>
              <w:t>0</w:t>
            </w:r>
          </w:p>
        </w:tc>
        <w:tc>
          <w:tcPr>
            <w:tcW w:w="711" w:type="dxa"/>
          </w:tcPr>
          <w:p>
            <w:pPr>
              <w:pStyle w:val="TableParagraph"/>
              <w:spacing w:line="223" w:lineRule="exact"/>
              <w:ind w:left="162"/>
              <w:rPr>
                <w:sz w:val="20"/>
              </w:rPr>
            </w:pPr>
            <w:r>
              <w:rPr>
                <w:sz w:val="20"/>
              </w:rPr>
              <w:t>0.76</w:t>
            </w:r>
          </w:p>
        </w:tc>
        <w:tc>
          <w:tcPr>
            <w:tcW w:w="759" w:type="dxa"/>
          </w:tcPr>
          <w:p>
            <w:pPr>
              <w:pStyle w:val="TableParagraph"/>
              <w:spacing w:line="223" w:lineRule="exact"/>
              <w:ind w:left="171"/>
              <w:rPr>
                <w:sz w:val="20"/>
              </w:rPr>
            </w:pPr>
            <w:r>
              <w:rPr>
                <w:sz w:val="20"/>
              </w:rPr>
              <w:t>0.86</w:t>
            </w:r>
          </w:p>
        </w:tc>
      </w:tr>
      <w:tr>
        <w:trPr>
          <w:trHeight w:val="346" w:hRule="atLeast"/>
        </w:trPr>
        <w:tc>
          <w:tcPr>
            <w:tcW w:w="589" w:type="dxa"/>
            <w:tcBorders>
              <w:bottom w:val="single" w:sz="4" w:space="0" w:color="000000"/>
            </w:tcBorders>
          </w:tcPr>
          <w:p>
            <w:pPr>
              <w:pStyle w:val="TableParagraph"/>
              <w:spacing w:before="31"/>
              <w:ind w:left="117"/>
              <w:rPr>
                <w:sz w:val="20"/>
              </w:rPr>
            </w:pPr>
            <w:r>
              <w:rPr>
                <w:sz w:val="20"/>
              </w:rPr>
              <w:t>VI</w:t>
            </w:r>
          </w:p>
        </w:tc>
        <w:tc>
          <w:tcPr>
            <w:tcW w:w="1521" w:type="dxa"/>
            <w:tcBorders>
              <w:bottom w:val="single" w:sz="4" w:space="0" w:color="000000"/>
            </w:tcBorders>
          </w:tcPr>
          <w:p>
            <w:pPr>
              <w:pStyle w:val="TableParagraph"/>
              <w:spacing w:before="31"/>
              <w:ind w:left="174"/>
              <w:rPr>
                <w:sz w:val="20"/>
              </w:rPr>
            </w:pPr>
            <w:r>
              <w:rPr>
                <w:sz w:val="20"/>
              </w:rPr>
              <w:t>A206/ T4</w:t>
            </w:r>
          </w:p>
        </w:tc>
        <w:tc>
          <w:tcPr>
            <w:tcW w:w="793" w:type="dxa"/>
            <w:tcBorders>
              <w:bottom w:val="single" w:sz="4" w:space="0" w:color="000000"/>
            </w:tcBorders>
          </w:tcPr>
          <w:p>
            <w:pPr>
              <w:pStyle w:val="TableParagraph"/>
              <w:spacing w:before="31"/>
              <w:ind w:left="182"/>
              <w:rPr>
                <w:sz w:val="20"/>
              </w:rPr>
            </w:pPr>
            <w:r>
              <w:rPr>
                <w:sz w:val="20"/>
              </w:rPr>
              <w:t>97.34</w:t>
            </w:r>
          </w:p>
        </w:tc>
        <w:tc>
          <w:tcPr>
            <w:tcW w:w="653" w:type="dxa"/>
            <w:tcBorders>
              <w:bottom w:val="single" w:sz="4" w:space="0" w:color="000000"/>
            </w:tcBorders>
          </w:tcPr>
          <w:p>
            <w:pPr>
              <w:pStyle w:val="TableParagraph"/>
              <w:spacing w:before="31"/>
              <w:ind w:left="112"/>
              <w:rPr>
                <w:sz w:val="20"/>
              </w:rPr>
            </w:pPr>
            <w:r>
              <w:rPr>
                <w:w w:val="99"/>
                <w:sz w:val="20"/>
              </w:rPr>
              <w:t>0</w:t>
            </w:r>
          </w:p>
        </w:tc>
        <w:tc>
          <w:tcPr>
            <w:tcW w:w="764" w:type="dxa"/>
            <w:tcBorders>
              <w:bottom w:val="single" w:sz="4" w:space="0" w:color="000000"/>
            </w:tcBorders>
          </w:tcPr>
          <w:p>
            <w:pPr>
              <w:pStyle w:val="TableParagraph"/>
              <w:spacing w:before="31"/>
              <w:ind w:left="157"/>
              <w:rPr>
                <w:sz w:val="20"/>
              </w:rPr>
            </w:pPr>
            <w:r>
              <w:rPr>
                <w:sz w:val="20"/>
              </w:rPr>
              <w:t>1.35</w:t>
            </w:r>
          </w:p>
        </w:tc>
        <w:tc>
          <w:tcPr>
            <w:tcW w:w="717" w:type="dxa"/>
            <w:tcBorders>
              <w:bottom w:val="single" w:sz="4" w:space="0" w:color="000000"/>
            </w:tcBorders>
          </w:tcPr>
          <w:p>
            <w:pPr>
              <w:pStyle w:val="TableParagraph"/>
              <w:spacing w:before="31"/>
              <w:ind w:left="111"/>
              <w:rPr>
                <w:sz w:val="20"/>
              </w:rPr>
            </w:pPr>
            <w:r>
              <w:rPr>
                <w:sz w:val="20"/>
              </w:rPr>
              <w:t>1.31</w:t>
            </w:r>
          </w:p>
        </w:tc>
        <w:tc>
          <w:tcPr>
            <w:tcW w:w="653" w:type="dxa"/>
            <w:tcBorders>
              <w:bottom w:val="single" w:sz="4" w:space="0" w:color="000000"/>
            </w:tcBorders>
          </w:tcPr>
          <w:p>
            <w:pPr>
              <w:pStyle w:val="TableParagraph"/>
              <w:spacing w:before="31"/>
              <w:ind w:left="112"/>
              <w:rPr>
                <w:sz w:val="20"/>
              </w:rPr>
            </w:pPr>
            <w:r>
              <w:rPr>
                <w:w w:val="99"/>
                <w:sz w:val="20"/>
              </w:rPr>
              <w:t>0</w:t>
            </w:r>
          </w:p>
        </w:tc>
        <w:tc>
          <w:tcPr>
            <w:tcW w:w="711" w:type="dxa"/>
            <w:tcBorders>
              <w:bottom w:val="single" w:sz="4" w:space="0" w:color="000000"/>
            </w:tcBorders>
          </w:tcPr>
          <w:p>
            <w:pPr>
              <w:pStyle w:val="TableParagraph"/>
              <w:spacing w:before="31"/>
              <w:ind w:left="162"/>
              <w:rPr>
                <w:sz w:val="20"/>
              </w:rPr>
            </w:pPr>
            <w:r>
              <w:rPr>
                <w:w w:val="99"/>
                <w:sz w:val="20"/>
              </w:rPr>
              <w:t>0</w:t>
            </w:r>
          </w:p>
        </w:tc>
        <w:tc>
          <w:tcPr>
            <w:tcW w:w="759" w:type="dxa"/>
            <w:tcBorders>
              <w:bottom w:val="single" w:sz="4" w:space="0" w:color="000000"/>
            </w:tcBorders>
          </w:tcPr>
          <w:p>
            <w:pPr>
              <w:pStyle w:val="TableParagraph"/>
              <w:spacing w:before="31"/>
              <w:ind w:left="171"/>
              <w:rPr>
                <w:sz w:val="20"/>
              </w:rPr>
            </w:pPr>
            <w:r>
              <w:rPr>
                <w:w w:val="99"/>
                <w:sz w:val="20"/>
              </w:rPr>
              <w:t>0</w:t>
            </w:r>
          </w:p>
        </w:tc>
      </w:tr>
      <w:tr>
        <w:trPr>
          <w:trHeight w:val="258" w:hRule="atLeast"/>
        </w:trPr>
        <w:tc>
          <w:tcPr>
            <w:tcW w:w="589" w:type="dxa"/>
            <w:tcBorders>
              <w:top w:val="single" w:sz="4" w:space="0" w:color="000000"/>
            </w:tcBorders>
          </w:tcPr>
          <w:p>
            <w:pPr>
              <w:pStyle w:val="TableParagraph"/>
              <w:spacing w:line="225" w:lineRule="exact"/>
              <w:ind w:left="117"/>
              <w:rPr>
                <w:sz w:val="20"/>
              </w:rPr>
            </w:pPr>
            <w:r>
              <w:rPr>
                <w:sz w:val="20"/>
              </w:rPr>
              <w:t>VII</w:t>
            </w:r>
          </w:p>
        </w:tc>
        <w:tc>
          <w:tcPr>
            <w:tcW w:w="1521" w:type="dxa"/>
            <w:tcBorders>
              <w:top w:val="single" w:sz="4" w:space="0" w:color="000000"/>
            </w:tcBorders>
          </w:tcPr>
          <w:p>
            <w:pPr>
              <w:pStyle w:val="TableParagraph"/>
              <w:spacing w:line="225" w:lineRule="exact"/>
              <w:ind w:left="174"/>
              <w:rPr>
                <w:sz w:val="20"/>
              </w:rPr>
            </w:pPr>
            <w:r>
              <w:rPr>
                <w:sz w:val="20"/>
              </w:rPr>
              <w:t>A206/ T7</w:t>
            </w:r>
          </w:p>
        </w:tc>
        <w:tc>
          <w:tcPr>
            <w:tcW w:w="793" w:type="dxa"/>
            <w:tcBorders>
              <w:top w:val="single" w:sz="4" w:space="0" w:color="000000"/>
            </w:tcBorders>
          </w:tcPr>
          <w:p>
            <w:pPr>
              <w:pStyle w:val="TableParagraph"/>
              <w:spacing w:line="225" w:lineRule="exact"/>
              <w:ind w:left="182"/>
              <w:rPr>
                <w:sz w:val="20"/>
              </w:rPr>
            </w:pPr>
            <w:r>
              <w:rPr>
                <w:sz w:val="20"/>
              </w:rPr>
              <w:t>98.00</w:t>
            </w:r>
          </w:p>
        </w:tc>
        <w:tc>
          <w:tcPr>
            <w:tcW w:w="653" w:type="dxa"/>
            <w:tcBorders>
              <w:top w:val="single" w:sz="4" w:space="0" w:color="000000"/>
            </w:tcBorders>
          </w:tcPr>
          <w:p>
            <w:pPr>
              <w:pStyle w:val="TableParagraph"/>
              <w:spacing w:line="225" w:lineRule="exact"/>
              <w:ind w:left="112"/>
              <w:rPr>
                <w:sz w:val="20"/>
              </w:rPr>
            </w:pPr>
            <w:r>
              <w:rPr>
                <w:w w:val="99"/>
                <w:sz w:val="20"/>
              </w:rPr>
              <w:t>0</w:t>
            </w:r>
          </w:p>
        </w:tc>
        <w:tc>
          <w:tcPr>
            <w:tcW w:w="764" w:type="dxa"/>
            <w:tcBorders>
              <w:top w:val="single" w:sz="4" w:space="0" w:color="000000"/>
            </w:tcBorders>
          </w:tcPr>
          <w:p>
            <w:pPr>
              <w:pStyle w:val="TableParagraph"/>
              <w:spacing w:line="225" w:lineRule="exact"/>
              <w:ind w:left="157"/>
              <w:rPr>
                <w:sz w:val="20"/>
              </w:rPr>
            </w:pPr>
            <w:r>
              <w:rPr>
                <w:sz w:val="20"/>
              </w:rPr>
              <w:t>1.90</w:t>
            </w:r>
          </w:p>
        </w:tc>
        <w:tc>
          <w:tcPr>
            <w:tcW w:w="717" w:type="dxa"/>
            <w:tcBorders>
              <w:top w:val="single" w:sz="4" w:space="0" w:color="000000"/>
            </w:tcBorders>
          </w:tcPr>
          <w:p>
            <w:pPr>
              <w:pStyle w:val="TableParagraph"/>
              <w:spacing w:line="225" w:lineRule="exact"/>
              <w:ind w:left="111"/>
              <w:rPr>
                <w:sz w:val="20"/>
              </w:rPr>
            </w:pPr>
            <w:r>
              <w:rPr>
                <w:sz w:val="20"/>
              </w:rPr>
              <w:t>0.10</w:t>
            </w:r>
          </w:p>
        </w:tc>
        <w:tc>
          <w:tcPr>
            <w:tcW w:w="653" w:type="dxa"/>
            <w:tcBorders>
              <w:top w:val="single" w:sz="4" w:space="0" w:color="000000"/>
            </w:tcBorders>
          </w:tcPr>
          <w:p>
            <w:pPr>
              <w:pStyle w:val="TableParagraph"/>
              <w:spacing w:line="225" w:lineRule="exact"/>
              <w:ind w:left="112"/>
              <w:rPr>
                <w:sz w:val="20"/>
              </w:rPr>
            </w:pPr>
            <w:r>
              <w:rPr>
                <w:w w:val="99"/>
                <w:sz w:val="20"/>
              </w:rPr>
              <w:t>0</w:t>
            </w:r>
          </w:p>
        </w:tc>
        <w:tc>
          <w:tcPr>
            <w:tcW w:w="711" w:type="dxa"/>
            <w:tcBorders>
              <w:top w:val="single" w:sz="4" w:space="0" w:color="000000"/>
            </w:tcBorders>
          </w:tcPr>
          <w:p>
            <w:pPr>
              <w:pStyle w:val="TableParagraph"/>
              <w:spacing w:line="225" w:lineRule="exact"/>
              <w:ind w:left="162"/>
              <w:rPr>
                <w:sz w:val="20"/>
              </w:rPr>
            </w:pPr>
            <w:r>
              <w:rPr>
                <w:w w:val="99"/>
                <w:sz w:val="20"/>
              </w:rPr>
              <w:t>0</w:t>
            </w:r>
          </w:p>
        </w:tc>
        <w:tc>
          <w:tcPr>
            <w:tcW w:w="759" w:type="dxa"/>
            <w:tcBorders>
              <w:top w:val="single" w:sz="4" w:space="0" w:color="000000"/>
            </w:tcBorders>
          </w:tcPr>
          <w:p>
            <w:pPr>
              <w:pStyle w:val="TableParagraph"/>
              <w:spacing w:line="225" w:lineRule="exact"/>
              <w:ind w:left="171"/>
              <w:rPr>
                <w:sz w:val="20"/>
              </w:rPr>
            </w:pPr>
            <w:r>
              <w:rPr>
                <w:w w:val="99"/>
                <w:sz w:val="20"/>
              </w:rPr>
              <w:t>0</w:t>
            </w:r>
          </w:p>
        </w:tc>
      </w:tr>
      <w:tr>
        <w:trPr>
          <w:trHeight w:val="295" w:hRule="atLeast"/>
        </w:trPr>
        <w:tc>
          <w:tcPr>
            <w:tcW w:w="589" w:type="dxa"/>
          </w:tcPr>
          <w:p>
            <w:pPr>
              <w:pStyle w:val="TableParagraph"/>
              <w:spacing w:before="26"/>
              <w:ind w:left="117"/>
              <w:rPr>
                <w:sz w:val="20"/>
              </w:rPr>
            </w:pPr>
            <w:r>
              <w:rPr>
                <w:sz w:val="20"/>
              </w:rPr>
              <w:t>VIII</w:t>
            </w:r>
          </w:p>
        </w:tc>
        <w:tc>
          <w:tcPr>
            <w:tcW w:w="1521" w:type="dxa"/>
          </w:tcPr>
          <w:p>
            <w:pPr>
              <w:pStyle w:val="TableParagraph"/>
              <w:spacing w:before="26"/>
              <w:ind w:left="174"/>
              <w:rPr>
                <w:sz w:val="20"/>
              </w:rPr>
            </w:pPr>
            <w:r>
              <w:rPr>
                <w:sz w:val="20"/>
              </w:rPr>
              <w:t>A206/ T7</w:t>
            </w:r>
          </w:p>
        </w:tc>
        <w:tc>
          <w:tcPr>
            <w:tcW w:w="793" w:type="dxa"/>
          </w:tcPr>
          <w:p>
            <w:pPr>
              <w:pStyle w:val="TableParagraph"/>
              <w:spacing w:before="26"/>
              <w:ind w:left="182"/>
              <w:rPr>
                <w:sz w:val="20"/>
              </w:rPr>
            </w:pPr>
            <w:r>
              <w:rPr>
                <w:sz w:val="20"/>
              </w:rPr>
              <w:t>80.46</w:t>
            </w:r>
          </w:p>
        </w:tc>
        <w:tc>
          <w:tcPr>
            <w:tcW w:w="653" w:type="dxa"/>
          </w:tcPr>
          <w:p>
            <w:pPr>
              <w:pStyle w:val="TableParagraph"/>
              <w:spacing w:before="26"/>
              <w:ind w:left="112"/>
              <w:rPr>
                <w:sz w:val="20"/>
              </w:rPr>
            </w:pPr>
            <w:r>
              <w:rPr>
                <w:sz w:val="20"/>
              </w:rPr>
              <w:t>6.64</w:t>
            </w:r>
          </w:p>
        </w:tc>
        <w:tc>
          <w:tcPr>
            <w:tcW w:w="764" w:type="dxa"/>
          </w:tcPr>
          <w:p>
            <w:pPr>
              <w:pStyle w:val="TableParagraph"/>
              <w:spacing w:before="26"/>
              <w:ind w:left="157"/>
              <w:rPr>
                <w:sz w:val="20"/>
              </w:rPr>
            </w:pPr>
            <w:r>
              <w:rPr>
                <w:sz w:val="20"/>
              </w:rPr>
              <w:t>0.10</w:t>
            </w:r>
          </w:p>
        </w:tc>
        <w:tc>
          <w:tcPr>
            <w:tcW w:w="717" w:type="dxa"/>
          </w:tcPr>
          <w:p>
            <w:pPr>
              <w:pStyle w:val="TableParagraph"/>
              <w:spacing w:before="26"/>
              <w:ind w:left="111"/>
              <w:rPr>
                <w:sz w:val="20"/>
              </w:rPr>
            </w:pPr>
            <w:r>
              <w:rPr>
                <w:sz w:val="20"/>
              </w:rPr>
              <w:t>12.80</w:t>
            </w:r>
          </w:p>
        </w:tc>
        <w:tc>
          <w:tcPr>
            <w:tcW w:w="653" w:type="dxa"/>
          </w:tcPr>
          <w:p>
            <w:pPr>
              <w:pStyle w:val="TableParagraph"/>
              <w:spacing w:before="26"/>
              <w:ind w:left="112"/>
              <w:rPr>
                <w:sz w:val="20"/>
              </w:rPr>
            </w:pPr>
            <w:r>
              <w:rPr>
                <w:w w:val="99"/>
                <w:sz w:val="20"/>
              </w:rPr>
              <w:t>0</w:t>
            </w:r>
          </w:p>
        </w:tc>
        <w:tc>
          <w:tcPr>
            <w:tcW w:w="711" w:type="dxa"/>
          </w:tcPr>
          <w:p>
            <w:pPr>
              <w:pStyle w:val="TableParagraph"/>
              <w:spacing w:before="26"/>
              <w:ind w:left="162"/>
              <w:rPr>
                <w:sz w:val="20"/>
              </w:rPr>
            </w:pPr>
            <w:r>
              <w:rPr>
                <w:w w:val="99"/>
                <w:sz w:val="20"/>
              </w:rPr>
              <w:t>0</w:t>
            </w:r>
          </w:p>
        </w:tc>
        <w:tc>
          <w:tcPr>
            <w:tcW w:w="759" w:type="dxa"/>
          </w:tcPr>
          <w:p>
            <w:pPr>
              <w:pStyle w:val="TableParagraph"/>
              <w:spacing w:before="26"/>
              <w:ind w:left="171"/>
              <w:rPr>
                <w:sz w:val="20"/>
              </w:rPr>
            </w:pPr>
            <w:r>
              <w:rPr>
                <w:w w:val="99"/>
                <w:sz w:val="20"/>
              </w:rPr>
              <w:t>0</w:t>
            </w:r>
          </w:p>
        </w:tc>
      </w:tr>
      <w:tr>
        <w:trPr>
          <w:trHeight w:val="348" w:hRule="atLeast"/>
        </w:trPr>
        <w:tc>
          <w:tcPr>
            <w:tcW w:w="589" w:type="dxa"/>
            <w:tcBorders>
              <w:bottom w:val="single" w:sz="4" w:space="0" w:color="000000"/>
            </w:tcBorders>
          </w:tcPr>
          <w:p>
            <w:pPr>
              <w:pStyle w:val="TableParagraph"/>
              <w:spacing w:before="31"/>
              <w:ind w:left="117"/>
              <w:rPr>
                <w:sz w:val="20"/>
              </w:rPr>
            </w:pPr>
            <w:r>
              <w:rPr>
                <w:sz w:val="20"/>
              </w:rPr>
              <w:t>IX</w:t>
            </w:r>
          </w:p>
        </w:tc>
        <w:tc>
          <w:tcPr>
            <w:tcW w:w="1521" w:type="dxa"/>
            <w:tcBorders>
              <w:bottom w:val="single" w:sz="4" w:space="0" w:color="000000"/>
            </w:tcBorders>
          </w:tcPr>
          <w:p>
            <w:pPr>
              <w:pStyle w:val="TableParagraph"/>
              <w:spacing w:before="31"/>
              <w:ind w:left="174"/>
              <w:rPr>
                <w:sz w:val="20"/>
              </w:rPr>
            </w:pPr>
            <w:r>
              <w:rPr>
                <w:sz w:val="20"/>
              </w:rPr>
              <w:t>A206/ T7</w:t>
            </w:r>
          </w:p>
        </w:tc>
        <w:tc>
          <w:tcPr>
            <w:tcW w:w="793" w:type="dxa"/>
            <w:tcBorders>
              <w:bottom w:val="single" w:sz="4" w:space="0" w:color="000000"/>
            </w:tcBorders>
          </w:tcPr>
          <w:p>
            <w:pPr>
              <w:pStyle w:val="TableParagraph"/>
              <w:spacing w:before="31"/>
              <w:ind w:left="182"/>
              <w:rPr>
                <w:sz w:val="20"/>
              </w:rPr>
            </w:pPr>
            <w:r>
              <w:rPr>
                <w:sz w:val="20"/>
              </w:rPr>
              <w:t>81.80</w:t>
            </w:r>
          </w:p>
        </w:tc>
        <w:tc>
          <w:tcPr>
            <w:tcW w:w="653" w:type="dxa"/>
            <w:tcBorders>
              <w:bottom w:val="single" w:sz="4" w:space="0" w:color="000000"/>
            </w:tcBorders>
          </w:tcPr>
          <w:p>
            <w:pPr>
              <w:pStyle w:val="TableParagraph"/>
              <w:spacing w:before="31"/>
              <w:ind w:left="112"/>
              <w:rPr>
                <w:sz w:val="20"/>
              </w:rPr>
            </w:pPr>
            <w:r>
              <w:rPr>
                <w:sz w:val="20"/>
              </w:rPr>
              <w:t>5.38</w:t>
            </w:r>
          </w:p>
        </w:tc>
        <w:tc>
          <w:tcPr>
            <w:tcW w:w="764" w:type="dxa"/>
            <w:tcBorders>
              <w:bottom w:val="single" w:sz="4" w:space="0" w:color="000000"/>
            </w:tcBorders>
          </w:tcPr>
          <w:p>
            <w:pPr>
              <w:pStyle w:val="TableParagraph"/>
              <w:spacing w:before="31"/>
              <w:ind w:left="157"/>
              <w:rPr>
                <w:sz w:val="20"/>
              </w:rPr>
            </w:pPr>
            <w:r>
              <w:rPr>
                <w:sz w:val="20"/>
              </w:rPr>
              <w:t>1.94</w:t>
            </w:r>
          </w:p>
        </w:tc>
        <w:tc>
          <w:tcPr>
            <w:tcW w:w="717" w:type="dxa"/>
            <w:tcBorders>
              <w:bottom w:val="single" w:sz="4" w:space="0" w:color="000000"/>
            </w:tcBorders>
          </w:tcPr>
          <w:p>
            <w:pPr>
              <w:pStyle w:val="TableParagraph"/>
              <w:spacing w:before="31"/>
              <w:ind w:left="111"/>
              <w:rPr>
                <w:sz w:val="20"/>
              </w:rPr>
            </w:pPr>
            <w:r>
              <w:rPr>
                <w:sz w:val="20"/>
              </w:rPr>
              <w:t>10.88</w:t>
            </w:r>
          </w:p>
        </w:tc>
        <w:tc>
          <w:tcPr>
            <w:tcW w:w="653" w:type="dxa"/>
            <w:tcBorders>
              <w:bottom w:val="single" w:sz="4" w:space="0" w:color="000000"/>
            </w:tcBorders>
          </w:tcPr>
          <w:p>
            <w:pPr>
              <w:pStyle w:val="TableParagraph"/>
              <w:spacing w:before="31"/>
              <w:ind w:left="112"/>
              <w:rPr>
                <w:sz w:val="20"/>
              </w:rPr>
            </w:pPr>
            <w:r>
              <w:rPr>
                <w:w w:val="99"/>
                <w:sz w:val="20"/>
              </w:rPr>
              <w:t>0</w:t>
            </w:r>
          </w:p>
        </w:tc>
        <w:tc>
          <w:tcPr>
            <w:tcW w:w="711" w:type="dxa"/>
            <w:tcBorders>
              <w:bottom w:val="single" w:sz="4" w:space="0" w:color="000000"/>
            </w:tcBorders>
          </w:tcPr>
          <w:p>
            <w:pPr>
              <w:pStyle w:val="TableParagraph"/>
              <w:spacing w:before="31"/>
              <w:ind w:left="162"/>
              <w:rPr>
                <w:sz w:val="20"/>
              </w:rPr>
            </w:pPr>
            <w:r>
              <w:rPr>
                <w:w w:val="99"/>
                <w:sz w:val="20"/>
              </w:rPr>
              <w:t>0</w:t>
            </w:r>
          </w:p>
        </w:tc>
        <w:tc>
          <w:tcPr>
            <w:tcW w:w="759" w:type="dxa"/>
            <w:tcBorders>
              <w:bottom w:val="single" w:sz="4" w:space="0" w:color="000000"/>
            </w:tcBorders>
          </w:tcPr>
          <w:p>
            <w:pPr>
              <w:pStyle w:val="TableParagraph"/>
              <w:spacing w:before="31"/>
              <w:ind w:left="171"/>
              <w:rPr>
                <w:sz w:val="20"/>
              </w:rPr>
            </w:pPr>
            <w:r>
              <w:rPr>
                <w:w w:val="99"/>
                <w:sz w:val="20"/>
              </w:rPr>
              <w:t>0</w:t>
            </w:r>
          </w:p>
        </w:tc>
      </w:tr>
      <w:tr>
        <w:trPr>
          <w:trHeight w:val="255" w:hRule="atLeast"/>
        </w:trPr>
        <w:tc>
          <w:tcPr>
            <w:tcW w:w="589" w:type="dxa"/>
            <w:tcBorders>
              <w:top w:val="single" w:sz="4" w:space="0" w:color="000000"/>
            </w:tcBorders>
          </w:tcPr>
          <w:p>
            <w:pPr>
              <w:pStyle w:val="TableParagraph"/>
              <w:spacing w:line="222" w:lineRule="exact"/>
              <w:ind w:left="117"/>
              <w:rPr>
                <w:sz w:val="20"/>
              </w:rPr>
            </w:pPr>
            <w:r>
              <w:rPr>
                <w:w w:val="99"/>
                <w:sz w:val="20"/>
              </w:rPr>
              <w:t>X</w:t>
            </w:r>
          </w:p>
        </w:tc>
        <w:tc>
          <w:tcPr>
            <w:tcW w:w="1521" w:type="dxa"/>
            <w:tcBorders>
              <w:top w:val="single" w:sz="4" w:space="0" w:color="000000"/>
            </w:tcBorders>
          </w:tcPr>
          <w:p>
            <w:pPr>
              <w:pStyle w:val="TableParagraph"/>
              <w:spacing w:line="222" w:lineRule="exact"/>
              <w:ind w:left="174"/>
              <w:rPr>
                <w:sz w:val="20"/>
              </w:rPr>
            </w:pPr>
            <w:r>
              <w:rPr>
                <w:sz w:val="20"/>
              </w:rPr>
              <w:t>AZ91/ colada</w:t>
            </w:r>
          </w:p>
        </w:tc>
        <w:tc>
          <w:tcPr>
            <w:tcW w:w="793" w:type="dxa"/>
            <w:tcBorders>
              <w:top w:val="single" w:sz="4" w:space="0" w:color="000000"/>
            </w:tcBorders>
          </w:tcPr>
          <w:p>
            <w:pPr>
              <w:pStyle w:val="TableParagraph"/>
              <w:spacing w:line="222" w:lineRule="exact"/>
              <w:ind w:left="182"/>
              <w:rPr>
                <w:sz w:val="20"/>
              </w:rPr>
            </w:pPr>
            <w:r>
              <w:rPr>
                <w:sz w:val="20"/>
              </w:rPr>
              <w:t>1.90</w:t>
            </w:r>
          </w:p>
        </w:tc>
        <w:tc>
          <w:tcPr>
            <w:tcW w:w="653" w:type="dxa"/>
            <w:tcBorders>
              <w:top w:val="single" w:sz="4" w:space="0" w:color="000000"/>
            </w:tcBorders>
          </w:tcPr>
          <w:p>
            <w:pPr>
              <w:pStyle w:val="TableParagraph"/>
              <w:spacing w:line="222" w:lineRule="exact"/>
              <w:ind w:left="112"/>
              <w:rPr>
                <w:sz w:val="20"/>
              </w:rPr>
            </w:pPr>
            <w:r>
              <w:rPr>
                <w:w w:val="99"/>
                <w:sz w:val="20"/>
              </w:rPr>
              <w:t>0</w:t>
            </w:r>
          </w:p>
        </w:tc>
        <w:tc>
          <w:tcPr>
            <w:tcW w:w="764" w:type="dxa"/>
            <w:tcBorders>
              <w:top w:val="single" w:sz="4" w:space="0" w:color="000000"/>
            </w:tcBorders>
          </w:tcPr>
          <w:p>
            <w:pPr>
              <w:pStyle w:val="TableParagraph"/>
              <w:spacing w:line="222" w:lineRule="exact"/>
              <w:ind w:left="157"/>
              <w:rPr>
                <w:sz w:val="20"/>
              </w:rPr>
            </w:pPr>
            <w:r>
              <w:rPr>
                <w:sz w:val="20"/>
              </w:rPr>
              <w:t>98.09</w:t>
            </w:r>
          </w:p>
        </w:tc>
        <w:tc>
          <w:tcPr>
            <w:tcW w:w="717" w:type="dxa"/>
            <w:tcBorders>
              <w:top w:val="single" w:sz="4" w:space="0" w:color="000000"/>
            </w:tcBorders>
          </w:tcPr>
          <w:p>
            <w:pPr>
              <w:pStyle w:val="TableParagraph"/>
              <w:spacing w:line="222" w:lineRule="exact"/>
              <w:ind w:left="111"/>
              <w:rPr>
                <w:sz w:val="20"/>
              </w:rPr>
            </w:pPr>
            <w:r>
              <w:rPr>
                <w:w w:val="99"/>
                <w:sz w:val="20"/>
              </w:rPr>
              <w:t>0</w:t>
            </w:r>
          </w:p>
        </w:tc>
        <w:tc>
          <w:tcPr>
            <w:tcW w:w="653" w:type="dxa"/>
            <w:tcBorders>
              <w:top w:val="single" w:sz="4" w:space="0" w:color="000000"/>
            </w:tcBorders>
          </w:tcPr>
          <w:p>
            <w:pPr>
              <w:pStyle w:val="TableParagraph"/>
              <w:spacing w:line="222" w:lineRule="exact"/>
              <w:ind w:left="112"/>
              <w:rPr>
                <w:sz w:val="20"/>
              </w:rPr>
            </w:pPr>
            <w:r>
              <w:rPr>
                <w:sz w:val="20"/>
              </w:rPr>
              <w:t>0.01</w:t>
            </w:r>
          </w:p>
        </w:tc>
        <w:tc>
          <w:tcPr>
            <w:tcW w:w="711" w:type="dxa"/>
            <w:tcBorders>
              <w:top w:val="single" w:sz="4" w:space="0" w:color="000000"/>
            </w:tcBorders>
          </w:tcPr>
          <w:p>
            <w:pPr>
              <w:pStyle w:val="TableParagraph"/>
              <w:spacing w:line="222" w:lineRule="exact"/>
              <w:ind w:left="162"/>
              <w:rPr>
                <w:sz w:val="20"/>
              </w:rPr>
            </w:pPr>
            <w:r>
              <w:rPr>
                <w:w w:val="99"/>
                <w:sz w:val="20"/>
              </w:rPr>
              <w:t>0</w:t>
            </w:r>
          </w:p>
        </w:tc>
        <w:tc>
          <w:tcPr>
            <w:tcW w:w="759" w:type="dxa"/>
            <w:tcBorders>
              <w:top w:val="single" w:sz="4" w:space="0" w:color="000000"/>
            </w:tcBorders>
          </w:tcPr>
          <w:p>
            <w:pPr>
              <w:pStyle w:val="TableParagraph"/>
              <w:spacing w:line="222" w:lineRule="exact"/>
              <w:ind w:left="171"/>
              <w:rPr>
                <w:sz w:val="20"/>
              </w:rPr>
            </w:pPr>
            <w:r>
              <w:rPr>
                <w:w w:val="99"/>
                <w:sz w:val="20"/>
              </w:rPr>
              <w:t>0</w:t>
            </w:r>
          </w:p>
        </w:tc>
      </w:tr>
      <w:tr>
        <w:trPr>
          <w:trHeight w:val="295" w:hRule="atLeast"/>
        </w:trPr>
        <w:tc>
          <w:tcPr>
            <w:tcW w:w="589" w:type="dxa"/>
          </w:tcPr>
          <w:p>
            <w:pPr>
              <w:pStyle w:val="TableParagraph"/>
              <w:spacing w:before="26"/>
              <w:ind w:left="117"/>
              <w:rPr>
                <w:sz w:val="20"/>
              </w:rPr>
            </w:pPr>
            <w:r>
              <w:rPr>
                <w:sz w:val="20"/>
              </w:rPr>
              <w:t>XI</w:t>
            </w:r>
          </w:p>
        </w:tc>
        <w:tc>
          <w:tcPr>
            <w:tcW w:w="1521" w:type="dxa"/>
          </w:tcPr>
          <w:p>
            <w:pPr>
              <w:pStyle w:val="TableParagraph"/>
              <w:spacing w:before="26"/>
              <w:ind w:left="174"/>
              <w:rPr>
                <w:sz w:val="20"/>
              </w:rPr>
            </w:pPr>
            <w:r>
              <w:rPr>
                <w:sz w:val="20"/>
              </w:rPr>
              <w:t>AZ91/ colada</w:t>
            </w:r>
          </w:p>
        </w:tc>
        <w:tc>
          <w:tcPr>
            <w:tcW w:w="793" w:type="dxa"/>
          </w:tcPr>
          <w:p>
            <w:pPr>
              <w:pStyle w:val="TableParagraph"/>
              <w:spacing w:before="26"/>
              <w:ind w:left="182"/>
              <w:rPr>
                <w:sz w:val="20"/>
              </w:rPr>
            </w:pPr>
            <w:r>
              <w:rPr>
                <w:sz w:val="20"/>
              </w:rPr>
              <w:t>29.11</w:t>
            </w:r>
          </w:p>
        </w:tc>
        <w:tc>
          <w:tcPr>
            <w:tcW w:w="653" w:type="dxa"/>
          </w:tcPr>
          <w:p>
            <w:pPr>
              <w:pStyle w:val="TableParagraph"/>
              <w:spacing w:before="26"/>
              <w:ind w:left="112"/>
              <w:rPr>
                <w:sz w:val="20"/>
              </w:rPr>
            </w:pPr>
            <w:r>
              <w:rPr>
                <w:w w:val="99"/>
                <w:sz w:val="20"/>
              </w:rPr>
              <w:t>0</w:t>
            </w:r>
          </w:p>
        </w:tc>
        <w:tc>
          <w:tcPr>
            <w:tcW w:w="764" w:type="dxa"/>
          </w:tcPr>
          <w:p>
            <w:pPr>
              <w:pStyle w:val="TableParagraph"/>
              <w:spacing w:before="26"/>
              <w:ind w:left="157"/>
              <w:rPr>
                <w:sz w:val="20"/>
              </w:rPr>
            </w:pPr>
            <w:r>
              <w:rPr>
                <w:sz w:val="20"/>
              </w:rPr>
              <w:t>69.36</w:t>
            </w:r>
          </w:p>
        </w:tc>
        <w:tc>
          <w:tcPr>
            <w:tcW w:w="717" w:type="dxa"/>
          </w:tcPr>
          <w:p>
            <w:pPr>
              <w:pStyle w:val="TableParagraph"/>
              <w:spacing w:before="26"/>
              <w:ind w:left="111"/>
              <w:rPr>
                <w:sz w:val="20"/>
              </w:rPr>
            </w:pPr>
            <w:r>
              <w:rPr>
                <w:w w:val="99"/>
                <w:sz w:val="20"/>
              </w:rPr>
              <w:t>0</w:t>
            </w:r>
          </w:p>
        </w:tc>
        <w:tc>
          <w:tcPr>
            <w:tcW w:w="653" w:type="dxa"/>
          </w:tcPr>
          <w:p>
            <w:pPr>
              <w:pStyle w:val="TableParagraph"/>
              <w:spacing w:before="26"/>
              <w:ind w:left="112"/>
              <w:rPr>
                <w:sz w:val="20"/>
              </w:rPr>
            </w:pPr>
            <w:r>
              <w:rPr>
                <w:sz w:val="20"/>
              </w:rPr>
              <w:t>0.37</w:t>
            </w:r>
          </w:p>
        </w:tc>
        <w:tc>
          <w:tcPr>
            <w:tcW w:w="711" w:type="dxa"/>
          </w:tcPr>
          <w:p>
            <w:pPr>
              <w:pStyle w:val="TableParagraph"/>
              <w:spacing w:before="26"/>
              <w:ind w:left="162"/>
              <w:rPr>
                <w:sz w:val="20"/>
              </w:rPr>
            </w:pPr>
            <w:r>
              <w:rPr>
                <w:w w:val="99"/>
                <w:sz w:val="20"/>
              </w:rPr>
              <w:t>0</w:t>
            </w:r>
          </w:p>
        </w:tc>
        <w:tc>
          <w:tcPr>
            <w:tcW w:w="759" w:type="dxa"/>
          </w:tcPr>
          <w:p>
            <w:pPr>
              <w:pStyle w:val="TableParagraph"/>
              <w:spacing w:before="26"/>
              <w:ind w:left="171"/>
              <w:rPr>
                <w:sz w:val="20"/>
              </w:rPr>
            </w:pPr>
            <w:r>
              <w:rPr>
                <w:sz w:val="20"/>
              </w:rPr>
              <w:t>1.15</w:t>
            </w:r>
          </w:p>
        </w:tc>
      </w:tr>
      <w:tr>
        <w:trPr>
          <w:trHeight w:val="367" w:hRule="atLeast"/>
        </w:trPr>
        <w:tc>
          <w:tcPr>
            <w:tcW w:w="589" w:type="dxa"/>
            <w:tcBorders>
              <w:bottom w:val="single" w:sz="12" w:space="0" w:color="000000"/>
            </w:tcBorders>
          </w:tcPr>
          <w:p>
            <w:pPr>
              <w:pStyle w:val="TableParagraph"/>
              <w:spacing w:before="31"/>
              <w:ind w:left="117"/>
              <w:rPr>
                <w:sz w:val="20"/>
              </w:rPr>
            </w:pPr>
            <w:r>
              <w:rPr>
                <w:sz w:val="20"/>
              </w:rPr>
              <w:t>XII</w:t>
            </w:r>
          </w:p>
        </w:tc>
        <w:tc>
          <w:tcPr>
            <w:tcW w:w="1521" w:type="dxa"/>
            <w:tcBorders>
              <w:bottom w:val="single" w:sz="12" w:space="0" w:color="000000"/>
            </w:tcBorders>
          </w:tcPr>
          <w:p>
            <w:pPr>
              <w:pStyle w:val="TableParagraph"/>
              <w:spacing w:before="31"/>
              <w:ind w:left="174"/>
              <w:rPr>
                <w:sz w:val="20"/>
              </w:rPr>
            </w:pPr>
            <w:r>
              <w:rPr>
                <w:sz w:val="20"/>
              </w:rPr>
              <w:t>AZ91/ colada</w:t>
            </w:r>
          </w:p>
        </w:tc>
        <w:tc>
          <w:tcPr>
            <w:tcW w:w="793" w:type="dxa"/>
            <w:tcBorders>
              <w:bottom w:val="single" w:sz="12" w:space="0" w:color="000000"/>
            </w:tcBorders>
          </w:tcPr>
          <w:p>
            <w:pPr>
              <w:pStyle w:val="TableParagraph"/>
              <w:spacing w:before="31"/>
              <w:ind w:left="182"/>
              <w:rPr>
                <w:sz w:val="20"/>
              </w:rPr>
            </w:pPr>
            <w:r>
              <w:rPr>
                <w:sz w:val="20"/>
              </w:rPr>
              <w:t>22.49</w:t>
            </w:r>
          </w:p>
        </w:tc>
        <w:tc>
          <w:tcPr>
            <w:tcW w:w="653" w:type="dxa"/>
            <w:tcBorders>
              <w:bottom w:val="single" w:sz="12" w:space="0" w:color="000000"/>
            </w:tcBorders>
          </w:tcPr>
          <w:p>
            <w:pPr>
              <w:pStyle w:val="TableParagraph"/>
              <w:spacing w:before="31"/>
              <w:ind w:left="112"/>
              <w:rPr>
                <w:sz w:val="20"/>
              </w:rPr>
            </w:pPr>
            <w:r>
              <w:rPr>
                <w:w w:val="99"/>
                <w:sz w:val="20"/>
              </w:rPr>
              <w:t>0</w:t>
            </w:r>
          </w:p>
        </w:tc>
        <w:tc>
          <w:tcPr>
            <w:tcW w:w="764" w:type="dxa"/>
            <w:tcBorders>
              <w:bottom w:val="single" w:sz="12" w:space="0" w:color="000000"/>
            </w:tcBorders>
          </w:tcPr>
          <w:p>
            <w:pPr>
              <w:pStyle w:val="TableParagraph"/>
              <w:spacing w:before="31"/>
              <w:ind w:left="157"/>
              <w:rPr>
                <w:sz w:val="20"/>
              </w:rPr>
            </w:pPr>
            <w:r>
              <w:rPr>
                <w:sz w:val="20"/>
              </w:rPr>
              <w:t>74.63</w:t>
            </w:r>
          </w:p>
        </w:tc>
        <w:tc>
          <w:tcPr>
            <w:tcW w:w="717" w:type="dxa"/>
            <w:tcBorders>
              <w:bottom w:val="single" w:sz="12" w:space="0" w:color="000000"/>
            </w:tcBorders>
          </w:tcPr>
          <w:p>
            <w:pPr>
              <w:pStyle w:val="TableParagraph"/>
              <w:spacing w:before="31"/>
              <w:ind w:left="111"/>
              <w:rPr>
                <w:sz w:val="20"/>
              </w:rPr>
            </w:pPr>
            <w:r>
              <w:rPr>
                <w:w w:val="99"/>
                <w:sz w:val="20"/>
              </w:rPr>
              <w:t>0</w:t>
            </w:r>
          </w:p>
        </w:tc>
        <w:tc>
          <w:tcPr>
            <w:tcW w:w="653" w:type="dxa"/>
            <w:tcBorders>
              <w:bottom w:val="single" w:sz="12" w:space="0" w:color="000000"/>
            </w:tcBorders>
          </w:tcPr>
          <w:p>
            <w:pPr>
              <w:pStyle w:val="TableParagraph"/>
              <w:spacing w:before="31"/>
              <w:ind w:left="112"/>
              <w:rPr>
                <w:sz w:val="20"/>
              </w:rPr>
            </w:pPr>
            <w:r>
              <w:rPr>
                <w:sz w:val="20"/>
              </w:rPr>
              <w:t>1.02</w:t>
            </w:r>
          </w:p>
        </w:tc>
        <w:tc>
          <w:tcPr>
            <w:tcW w:w="711" w:type="dxa"/>
            <w:tcBorders>
              <w:bottom w:val="single" w:sz="12" w:space="0" w:color="000000"/>
            </w:tcBorders>
          </w:tcPr>
          <w:p>
            <w:pPr>
              <w:pStyle w:val="TableParagraph"/>
              <w:spacing w:before="31"/>
              <w:ind w:left="162"/>
              <w:rPr>
                <w:sz w:val="20"/>
              </w:rPr>
            </w:pPr>
            <w:r>
              <w:rPr>
                <w:w w:val="99"/>
                <w:sz w:val="20"/>
              </w:rPr>
              <w:t>0</w:t>
            </w:r>
          </w:p>
        </w:tc>
        <w:tc>
          <w:tcPr>
            <w:tcW w:w="759" w:type="dxa"/>
            <w:tcBorders>
              <w:bottom w:val="single" w:sz="12" w:space="0" w:color="000000"/>
            </w:tcBorders>
          </w:tcPr>
          <w:p>
            <w:pPr>
              <w:pStyle w:val="TableParagraph"/>
              <w:spacing w:before="31"/>
              <w:ind w:left="171"/>
              <w:rPr>
                <w:sz w:val="20"/>
              </w:rPr>
            </w:pPr>
            <w:r>
              <w:rPr>
                <w:sz w:val="20"/>
              </w:rPr>
              <w:t>1.86</w:t>
            </w:r>
          </w:p>
        </w:tc>
      </w:tr>
    </w:tbl>
    <w:p>
      <w:pPr>
        <w:pStyle w:val="BodyText"/>
        <w:rPr>
          <w:b/>
          <w:sz w:val="20"/>
        </w:rPr>
      </w:pPr>
    </w:p>
    <w:p>
      <w:pPr>
        <w:pStyle w:val="BodyText"/>
        <w:rPr>
          <w:b/>
          <w:sz w:val="20"/>
        </w:rPr>
      </w:pPr>
    </w:p>
    <w:p>
      <w:pPr>
        <w:pStyle w:val="BodyText"/>
        <w:rPr>
          <w:b/>
          <w:sz w:val="20"/>
        </w:rPr>
      </w:pPr>
    </w:p>
    <w:p>
      <w:pPr>
        <w:pStyle w:val="BodyText"/>
        <w:spacing w:line="360" w:lineRule="auto" w:before="218"/>
        <w:ind w:left="674" w:right="282" w:firstLine="336"/>
        <w:jc w:val="both"/>
      </w:pPr>
      <w:r>
        <w:rPr/>
        <w:t>Las Figuras 5 y 6 muestran microestructuras de las matrices Al-A206 y AZ91D, al lado de sus correspondientes espumas sintácticas, para las diferentes condiciones utilizadas en el estudio. Las Figuras 5a y 5b muestran las microestructuras de la aleación de base (matriz) Al-A206 y las de las espumas sintácticas de Al-A206/SiC, obtenidas en condición de colada. Asimismo, las Figuras 5c y 5d muestran las microestructuras tratadas térmicamente, correspondientes a la condición T4 de templado; en tanto que las Figuras 7a y 7b corresponden a condición T7 de revenido.</w:t>
      </w:r>
    </w:p>
    <w:p>
      <w:pPr>
        <w:pStyle w:val="BodyText"/>
        <w:spacing w:line="360" w:lineRule="auto" w:before="162"/>
        <w:ind w:left="674" w:right="285" w:firstLine="324"/>
        <w:jc w:val="both"/>
      </w:pPr>
      <w:r>
        <w:rPr/>
        <w:t>Finalmente, las Figuras 7c y 7d muestran las microestructuras de aleación de base AZ91D y las de la espuma sintáctica AZ91D/SiC obtenida en condición de colada.</w:t>
      </w:r>
    </w:p>
    <w:p>
      <w:pPr>
        <w:pStyle w:val="BodyText"/>
        <w:rPr>
          <w:sz w:val="26"/>
        </w:rPr>
      </w:pPr>
    </w:p>
    <w:p>
      <w:pPr>
        <w:pStyle w:val="BodyText"/>
        <w:spacing w:line="360" w:lineRule="auto" w:before="220"/>
        <w:ind w:left="674" w:right="216" w:firstLine="336"/>
        <w:jc w:val="both"/>
      </w:pPr>
      <w:r>
        <w:rPr/>
        <w:t>La microestructura de </w:t>
      </w:r>
      <w:r>
        <w:rPr>
          <w:spacing w:val="-3"/>
        </w:rPr>
        <w:t>la </w:t>
      </w:r>
      <w:r>
        <w:rPr/>
        <w:t>matriz Al-A206 en condición de colada consiste en una estructura dendrítica de fase-α, en donde las regiones interdendríticas están </w:t>
      </w:r>
      <w:r>
        <w:rPr>
          <w:position w:val="2"/>
        </w:rPr>
        <w:t>compuestas</w:t>
      </w:r>
      <w:r>
        <w:rPr>
          <w:spacing w:val="-13"/>
          <w:position w:val="2"/>
        </w:rPr>
        <w:t> </w:t>
      </w:r>
      <w:r>
        <w:rPr>
          <w:position w:val="2"/>
        </w:rPr>
        <w:t>básicamente</w:t>
      </w:r>
      <w:r>
        <w:rPr>
          <w:spacing w:val="-8"/>
          <w:position w:val="2"/>
        </w:rPr>
        <w:t> </w:t>
      </w:r>
      <w:r>
        <w:rPr>
          <w:position w:val="2"/>
        </w:rPr>
        <w:t>por</w:t>
      </w:r>
      <w:r>
        <w:rPr>
          <w:spacing w:val="-10"/>
          <w:position w:val="2"/>
        </w:rPr>
        <w:t> </w:t>
      </w:r>
      <w:r>
        <w:rPr>
          <w:position w:val="2"/>
        </w:rPr>
        <w:t>las</w:t>
      </w:r>
      <w:r>
        <w:rPr>
          <w:spacing w:val="-16"/>
          <w:position w:val="2"/>
        </w:rPr>
        <w:t> </w:t>
      </w:r>
      <w:r>
        <w:rPr>
          <w:position w:val="2"/>
        </w:rPr>
        <w:t>fases</w:t>
      </w:r>
      <w:r>
        <w:rPr>
          <w:spacing w:val="-13"/>
          <w:position w:val="2"/>
        </w:rPr>
        <w:t> </w:t>
      </w:r>
      <w:r>
        <w:rPr>
          <w:position w:val="2"/>
        </w:rPr>
        <w:t>Al,</w:t>
      </w:r>
      <w:r>
        <w:rPr>
          <w:spacing w:val="-9"/>
          <w:position w:val="2"/>
        </w:rPr>
        <w:t> </w:t>
      </w:r>
      <w:r>
        <w:rPr>
          <w:position w:val="2"/>
        </w:rPr>
        <w:t>Al</w:t>
      </w:r>
      <w:r>
        <w:rPr>
          <w:sz w:val="16"/>
        </w:rPr>
        <w:t>2</w:t>
      </w:r>
      <w:r>
        <w:rPr>
          <w:position w:val="2"/>
        </w:rPr>
        <w:t>Cu,</w:t>
      </w:r>
      <w:r>
        <w:rPr>
          <w:spacing w:val="-9"/>
          <w:position w:val="2"/>
        </w:rPr>
        <w:t> </w:t>
      </w:r>
      <w:r>
        <w:rPr>
          <w:position w:val="2"/>
        </w:rPr>
        <w:t>Al</w:t>
      </w:r>
      <w:r>
        <w:rPr>
          <w:sz w:val="16"/>
        </w:rPr>
        <w:t>2</w:t>
      </w:r>
      <w:r>
        <w:rPr>
          <w:position w:val="2"/>
        </w:rPr>
        <w:t>Mn</w:t>
      </w:r>
      <w:r>
        <w:rPr>
          <w:sz w:val="16"/>
        </w:rPr>
        <w:t>3</w:t>
      </w:r>
      <w:r>
        <w:rPr>
          <w:position w:val="2"/>
        </w:rPr>
        <w:t>Cu</w:t>
      </w:r>
      <w:r>
        <w:rPr>
          <w:sz w:val="16"/>
        </w:rPr>
        <w:t>2</w:t>
      </w:r>
      <w:r>
        <w:rPr>
          <w:spacing w:val="12"/>
          <w:sz w:val="16"/>
        </w:rPr>
        <w:t> </w:t>
      </w:r>
      <w:r>
        <w:rPr>
          <w:position w:val="2"/>
        </w:rPr>
        <w:t>y</w:t>
      </w:r>
      <w:r>
        <w:rPr>
          <w:spacing w:val="-13"/>
          <w:position w:val="2"/>
        </w:rPr>
        <w:t> </w:t>
      </w:r>
      <w:r>
        <w:rPr>
          <w:position w:val="2"/>
        </w:rPr>
        <w:t>Al</w:t>
      </w:r>
      <w:r>
        <w:rPr>
          <w:sz w:val="16"/>
        </w:rPr>
        <w:t>7</w:t>
      </w:r>
      <w:r>
        <w:rPr>
          <w:position w:val="2"/>
        </w:rPr>
        <w:t>FeCu</w:t>
      </w:r>
      <w:r>
        <w:rPr>
          <w:sz w:val="16"/>
        </w:rPr>
        <w:t>2</w:t>
      </w:r>
      <w:r>
        <w:rPr>
          <w:position w:val="2"/>
        </w:rPr>
        <w:t>,</w:t>
      </w:r>
      <w:r>
        <w:rPr>
          <w:spacing w:val="-9"/>
          <w:position w:val="2"/>
        </w:rPr>
        <w:t> </w:t>
      </w:r>
      <w:r>
        <w:rPr>
          <w:position w:val="2"/>
        </w:rPr>
        <w:t>resultantes </w:t>
      </w:r>
      <w:r>
        <w:rPr/>
        <w:t>de la reacción eutéctica [40,</w:t>
      </w:r>
      <w:r>
        <w:rPr>
          <w:spacing w:val="-1"/>
        </w:rPr>
        <w:t> </w:t>
      </w:r>
      <w:r>
        <w:rPr/>
        <w:t>41].</w:t>
      </w:r>
    </w:p>
    <w:p>
      <w:pPr>
        <w:pStyle w:val="BodyText"/>
        <w:rPr>
          <w:sz w:val="26"/>
        </w:rPr>
      </w:pPr>
    </w:p>
    <w:p>
      <w:pPr>
        <w:pStyle w:val="BodyText"/>
        <w:rPr>
          <w:sz w:val="26"/>
        </w:rPr>
      </w:pPr>
    </w:p>
    <w:p>
      <w:pPr>
        <w:pStyle w:val="BodyText"/>
        <w:spacing w:before="9"/>
        <w:rPr>
          <w:sz w:val="30"/>
        </w:rPr>
      </w:pPr>
    </w:p>
    <w:p>
      <w:pPr>
        <w:spacing w:line="259" w:lineRule="auto" w:before="0"/>
        <w:ind w:left="674" w:right="642" w:firstLine="0"/>
        <w:jc w:val="both"/>
        <w:rPr>
          <w:b/>
          <w:sz w:val="20"/>
        </w:rPr>
      </w:pPr>
      <w:r>
        <w:rPr>
          <w:b/>
          <w:sz w:val="20"/>
        </w:rPr>
        <w:t>TABLA</w:t>
      </w:r>
      <w:r>
        <w:rPr>
          <w:b/>
          <w:spacing w:val="-21"/>
          <w:sz w:val="20"/>
        </w:rPr>
        <w:t> </w:t>
      </w:r>
      <w:r>
        <w:rPr>
          <w:b/>
          <w:sz w:val="20"/>
        </w:rPr>
        <w:t>III.</w:t>
      </w:r>
      <w:r>
        <w:rPr>
          <w:b/>
          <w:spacing w:val="-14"/>
          <w:sz w:val="20"/>
        </w:rPr>
        <w:t> </w:t>
      </w:r>
      <w:r>
        <w:rPr>
          <w:b/>
          <w:sz w:val="20"/>
        </w:rPr>
        <w:t>Composiciones</w:t>
      </w:r>
      <w:r>
        <w:rPr>
          <w:b/>
          <w:spacing w:val="-17"/>
          <w:sz w:val="20"/>
        </w:rPr>
        <w:t> </w:t>
      </w:r>
      <w:r>
        <w:rPr>
          <w:b/>
          <w:sz w:val="20"/>
        </w:rPr>
        <w:t>de</w:t>
      </w:r>
      <w:r>
        <w:rPr>
          <w:b/>
          <w:spacing w:val="-17"/>
          <w:sz w:val="20"/>
        </w:rPr>
        <w:t> </w:t>
      </w:r>
      <w:r>
        <w:rPr>
          <w:b/>
          <w:sz w:val="20"/>
        </w:rPr>
        <w:t>las</w:t>
      </w:r>
      <w:r>
        <w:rPr>
          <w:b/>
          <w:spacing w:val="-17"/>
          <w:sz w:val="20"/>
        </w:rPr>
        <w:t> </w:t>
      </w:r>
      <w:r>
        <w:rPr>
          <w:b/>
          <w:sz w:val="20"/>
        </w:rPr>
        <w:t>diferentes</w:t>
      </w:r>
      <w:r>
        <w:rPr>
          <w:b/>
          <w:spacing w:val="-17"/>
          <w:sz w:val="20"/>
        </w:rPr>
        <w:t> </w:t>
      </w:r>
      <w:r>
        <w:rPr>
          <w:b/>
          <w:sz w:val="20"/>
        </w:rPr>
        <w:t>fases</w:t>
      </w:r>
      <w:r>
        <w:rPr>
          <w:b/>
          <w:spacing w:val="-17"/>
          <w:sz w:val="20"/>
        </w:rPr>
        <w:t> </w:t>
      </w:r>
      <w:r>
        <w:rPr>
          <w:b/>
          <w:sz w:val="20"/>
        </w:rPr>
        <w:t>formadas</w:t>
      </w:r>
      <w:r>
        <w:rPr>
          <w:b/>
          <w:spacing w:val="-14"/>
          <w:sz w:val="20"/>
        </w:rPr>
        <w:t> </w:t>
      </w:r>
      <w:r>
        <w:rPr>
          <w:b/>
          <w:sz w:val="20"/>
        </w:rPr>
        <w:t>en</w:t>
      </w:r>
      <w:r>
        <w:rPr>
          <w:b/>
          <w:spacing w:val="-11"/>
          <w:sz w:val="20"/>
        </w:rPr>
        <w:t> </w:t>
      </w:r>
      <w:r>
        <w:rPr>
          <w:b/>
          <w:sz w:val="20"/>
        </w:rPr>
        <w:t>las</w:t>
      </w:r>
      <w:r>
        <w:rPr>
          <w:b/>
          <w:spacing w:val="-14"/>
          <w:sz w:val="20"/>
        </w:rPr>
        <w:t> </w:t>
      </w:r>
      <w:r>
        <w:rPr>
          <w:b/>
          <w:sz w:val="20"/>
        </w:rPr>
        <w:t>espumas</w:t>
      </w:r>
      <w:r>
        <w:rPr>
          <w:b/>
          <w:spacing w:val="-6"/>
          <w:sz w:val="20"/>
        </w:rPr>
        <w:t> </w:t>
      </w:r>
      <w:r>
        <w:rPr>
          <w:b/>
          <w:sz w:val="20"/>
        </w:rPr>
        <w:t>sintácticas</w:t>
      </w:r>
      <w:r>
        <w:rPr>
          <w:b/>
          <w:spacing w:val="-10"/>
          <w:sz w:val="20"/>
        </w:rPr>
        <w:t> </w:t>
      </w:r>
      <w:r>
        <w:rPr>
          <w:b/>
          <w:spacing w:val="-5"/>
          <w:sz w:val="20"/>
        </w:rPr>
        <w:t>Al- </w:t>
      </w:r>
      <w:r>
        <w:rPr>
          <w:b/>
          <w:sz w:val="20"/>
        </w:rPr>
        <w:t>A206/SiC y Mg-AZ91/SiC analizadas mediante SEM/EDS. Los números romanos en la primera</w:t>
      </w:r>
      <w:r>
        <w:rPr>
          <w:b/>
          <w:spacing w:val="-9"/>
          <w:sz w:val="20"/>
        </w:rPr>
        <w:t> </w:t>
      </w:r>
      <w:r>
        <w:rPr>
          <w:b/>
          <w:sz w:val="20"/>
        </w:rPr>
        <w:t>columna</w:t>
      </w:r>
      <w:r>
        <w:rPr>
          <w:b/>
          <w:spacing w:val="-5"/>
          <w:sz w:val="20"/>
        </w:rPr>
        <w:t> </w:t>
      </w:r>
      <w:r>
        <w:rPr>
          <w:b/>
          <w:sz w:val="20"/>
        </w:rPr>
        <w:t>se</w:t>
      </w:r>
      <w:r>
        <w:rPr>
          <w:b/>
          <w:spacing w:val="-5"/>
          <w:sz w:val="20"/>
        </w:rPr>
        <w:t> </w:t>
      </w:r>
      <w:r>
        <w:rPr>
          <w:b/>
          <w:sz w:val="20"/>
        </w:rPr>
        <w:t>refieren</w:t>
      </w:r>
      <w:r>
        <w:rPr>
          <w:b/>
          <w:spacing w:val="-5"/>
          <w:sz w:val="20"/>
        </w:rPr>
        <w:t> </w:t>
      </w:r>
      <w:r>
        <w:rPr>
          <w:b/>
          <w:sz w:val="20"/>
        </w:rPr>
        <w:t>a</w:t>
      </w:r>
      <w:r>
        <w:rPr>
          <w:b/>
          <w:spacing w:val="-6"/>
          <w:sz w:val="20"/>
        </w:rPr>
        <w:t> </w:t>
      </w:r>
      <w:r>
        <w:rPr>
          <w:b/>
          <w:sz w:val="20"/>
        </w:rPr>
        <w:t>las</w:t>
      </w:r>
      <w:r>
        <w:rPr>
          <w:b/>
          <w:spacing w:val="-7"/>
          <w:sz w:val="20"/>
        </w:rPr>
        <w:t> </w:t>
      </w:r>
      <w:r>
        <w:rPr>
          <w:b/>
          <w:sz w:val="20"/>
        </w:rPr>
        <w:t>anotaciones</w:t>
      </w:r>
      <w:r>
        <w:rPr>
          <w:b/>
          <w:spacing w:val="-6"/>
          <w:sz w:val="20"/>
        </w:rPr>
        <w:t> </w:t>
      </w:r>
      <w:r>
        <w:rPr>
          <w:b/>
          <w:sz w:val="20"/>
        </w:rPr>
        <w:t>mostradas</w:t>
      </w:r>
      <w:r>
        <w:rPr>
          <w:b/>
          <w:spacing w:val="-6"/>
          <w:sz w:val="20"/>
        </w:rPr>
        <w:t> </w:t>
      </w:r>
      <w:r>
        <w:rPr>
          <w:b/>
          <w:sz w:val="20"/>
        </w:rPr>
        <w:t>en</w:t>
      </w:r>
      <w:r>
        <w:rPr>
          <w:b/>
          <w:spacing w:val="-6"/>
          <w:sz w:val="20"/>
        </w:rPr>
        <w:t> </w:t>
      </w:r>
      <w:r>
        <w:rPr>
          <w:b/>
          <w:sz w:val="20"/>
        </w:rPr>
        <w:t>la</w:t>
      </w:r>
      <w:r>
        <w:rPr>
          <w:b/>
          <w:spacing w:val="-6"/>
          <w:sz w:val="20"/>
        </w:rPr>
        <w:t> </w:t>
      </w:r>
      <w:r>
        <w:rPr>
          <w:b/>
          <w:sz w:val="20"/>
        </w:rPr>
        <w:t>Figura</w:t>
      </w:r>
      <w:r>
        <w:rPr>
          <w:b/>
          <w:spacing w:val="-4"/>
          <w:sz w:val="20"/>
        </w:rPr>
        <w:t> </w:t>
      </w:r>
      <w:r>
        <w:rPr>
          <w:b/>
          <w:sz w:val="20"/>
        </w:rPr>
        <w:t>8</w:t>
      </w:r>
    </w:p>
    <w:p>
      <w:pPr>
        <w:spacing w:after="0" w:line="259" w:lineRule="auto"/>
        <w:jc w:val="both"/>
        <w:rPr>
          <w:sz w:val="20"/>
        </w:rPr>
        <w:sectPr>
          <w:pgSz w:w="12240" w:h="15840"/>
          <w:pgMar w:header="0" w:footer="1869" w:top="1500" w:bottom="2060" w:left="1520" w:right="940"/>
        </w:sectPr>
      </w:pPr>
    </w:p>
    <w:p>
      <w:pPr>
        <w:pStyle w:val="BodyText"/>
        <w:rPr>
          <w:b/>
          <w:sz w:val="20"/>
        </w:rPr>
      </w:pPr>
    </w:p>
    <w:p>
      <w:pPr>
        <w:pStyle w:val="BodyText"/>
        <w:rPr>
          <w:b/>
          <w:sz w:val="20"/>
        </w:rPr>
      </w:pPr>
    </w:p>
    <w:p>
      <w:pPr>
        <w:pStyle w:val="BodyText"/>
        <w:rPr>
          <w:b/>
          <w:sz w:val="20"/>
        </w:rPr>
      </w:pPr>
    </w:p>
    <w:p>
      <w:pPr>
        <w:pStyle w:val="BodyText"/>
        <w:spacing w:before="9"/>
        <w:rPr>
          <w:b/>
          <w:sz w:val="25"/>
        </w:rPr>
      </w:pPr>
    </w:p>
    <w:tbl>
      <w:tblPr>
        <w:tblW w:w="0" w:type="auto"/>
        <w:jc w:val="left"/>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9"/>
        <w:gridCol w:w="1475"/>
        <w:gridCol w:w="809"/>
        <w:gridCol w:w="761"/>
        <w:gridCol w:w="804"/>
        <w:gridCol w:w="761"/>
        <w:gridCol w:w="718"/>
        <w:gridCol w:w="652"/>
        <w:gridCol w:w="719"/>
        <w:gridCol w:w="720"/>
        <w:gridCol w:w="816"/>
      </w:tblGrid>
      <w:tr>
        <w:trPr>
          <w:trHeight w:val="440" w:hRule="atLeast"/>
        </w:trPr>
        <w:tc>
          <w:tcPr>
            <w:tcW w:w="799" w:type="dxa"/>
            <w:tcBorders>
              <w:top w:val="single" w:sz="12" w:space="0" w:color="000000"/>
              <w:bottom w:val="single" w:sz="4" w:space="0" w:color="000000"/>
            </w:tcBorders>
          </w:tcPr>
          <w:p>
            <w:pPr>
              <w:pStyle w:val="TableParagraph"/>
              <w:spacing w:line="222" w:lineRule="exact"/>
              <w:ind w:left="124"/>
              <w:rPr>
                <w:sz w:val="20"/>
              </w:rPr>
            </w:pPr>
            <w:r>
              <w:rPr>
                <w:sz w:val="20"/>
              </w:rPr>
              <w:t>Area</w:t>
            </w:r>
          </w:p>
        </w:tc>
        <w:tc>
          <w:tcPr>
            <w:tcW w:w="1475" w:type="dxa"/>
            <w:tcBorders>
              <w:top w:val="single" w:sz="12" w:space="0" w:color="000000"/>
              <w:bottom w:val="single" w:sz="4" w:space="0" w:color="000000"/>
            </w:tcBorders>
          </w:tcPr>
          <w:p>
            <w:pPr>
              <w:pStyle w:val="TableParagraph"/>
              <w:spacing w:line="222" w:lineRule="exact"/>
              <w:ind w:left="107"/>
              <w:rPr>
                <w:sz w:val="20"/>
              </w:rPr>
            </w:pPr>
            <w:r>
              <w:rPr>
                <w:sz w:val="20"/>
              </w:rPr>
              <w:t>Matriz/</w:t>
            </w:r>
          </w:p>
        </w:tc>
        <w:tc>
          <w:tcPr>
            <w:tcW w:w="809" w:type="dxa"/>
            <w:tcBorders>
              <w:top w:val="single" w:sz="12" w:space="0" w:color="000000"/>
              <w:bottom w:val="single" w:sz="4" w:space="0" w:color="000000"/>
            </w:tcBorders>
          </w:tcPr>
          <w:p>
            <w:pPr>
              <w:pStyle w:val="TableParagraph"/>
              <w:spacing w:line="222" w:lineRule="exact"/>
              <w:ind w:left="200"/>
              <w:rPr>
                <w:sz w:val="20"/>
              </w:rPr>
            </w:pPr>
            <w:r>
              <w:rPr>
                <w:sz w:val="20"/>
              </w:rPr>
              <w:t>Al</w:t>
            </w:r>
          </w:p>
        </w:tc>
        <w:tc>
          <w:tcPr>
            <w:tcW w:w="761" w:type="dxa"/>
            <w:tcBorders>
              <w:top w:val="single" w:sz="12" w:space="0" w:color="000000"/>
              <w:bottom w:val="single" w:sz="4" w:space="0" w:color="000000"/>
            </w:tcBorders>
          </w:tcPr>
          <w:p>
            <w:pPr>
              <w:pStyle w:val="TableParagraph"/>
              <w:spacing w:line="222" w:lineRule="exact"/>
              <w:ind w:left="109"/>
              <w:rPr>
                <w:sz w:val="20"/>
              </w:rPr>
            </w:pPr>
            <w:r>
              <w:rPr>
                <w:sz w:val="20"/>
              </w:rPr>
              <w:t>Si</w:t>
            </w:r>
          </w:p>
        </w:tc>
        <w:tc>
          <w:tcPr>
            <w:tcW w:w="804" w:type="dxa"/>
            <w:tcBorders>
              <w:top w:val="single" w:sz="12" w:space="0" w:color="000000"/>
              <w:bottom w:val="single" w:sz="4" w:space="0" w:color="000000"/>
            </w:tcBorders>
          </w:tcPr>
          <w:p>
            <w:pPr>
              <w:pStyle w:val="TableParagraph"/>
              <w:spacing w:line="222" w:lineRule="exact"/>
              <w:ind w:left="152"/>
              <w:rPr>
                <w:sz w:val="20"/>
              </w:rPr>
            </w:pPr>
            <w:r>
              <w:rPr>
                <w:sz w:val="20"/>
              </w:rPr>
              <w:t>Fe</w:t>
            </w:r>
          </w:p>
        </w:tc>
        <w:tc>
          <w:tcPr>
            <w:tcW w:w="761" w:type="dxa"/>
            <w:tcBorders>
              <w:top w:val="single" w:sz="12" w:space="0" w:color="000000"/>
              <w:bottom w:val="single" w:sz="4" w:space="0" w:color="000000"/>
            </w:tcBorders>
          </w:tcPr>
          <w:p>
            <w:pPr>
              <w:pStyle w:val="TableParagraph"/>
              <w:spacing w:line="222" w:lineRule="exact"/>
              <w:ind w:left="152"/>
              <w:rPr>
                <w:sz w:val="20"/>
              </w:rPr>
            </w:pPr>
            <w:r>
              <w:rPr>
                <w:sz w:val="20"/>
              </w:rPr>
              <w:t>Mg</w:t>
            </w:r>
          </w:p>
        </w:tc>
        <w:tc>
          <w:tcPr>
            <w:tcW w:w="718" w:type="dxa"/>
            <w:tcBorders>
              <w:top w:val="single" w:sz="12" w:space="0" w:color="000000"/>
              <w:bottom w:val="single" w:sz="4" w:space="0" w:color="000000"/>
            </w:tcBorders>
          </w:tcPr>
          <w:p>
            <w:pPr>
              <w:pStyle w:val="TableParagraph"/>
              <w:spacing w:line="222" w:lineRule="exact"/>
              <w:ind w:left="109"/>
              <w:rPr>
                <w:sz w:val="20"/>
              </w:rPr>
            </w:pPr>
            <w:r>
              <w:rPr>
                <w:sz w:val="20"/>
              </w:rPr>
              <w:t>Cu</w:t>
            </w:r>
          </w:p>
        </w:tc>
        <w:tc>
          <w:tcPr>
            <w:tcW w:w="652" w:type="dxa"/>
            <w:tcBorders>
              <w:top w:val="single" w:sz="12" w:space="0" w:color="000000"/>
              <w:bottom w:val="single" w:sz="4" w:space="0" w:color="000000"/>
            </w:tcBorders>
          </w:tcPr>
          <w:p>
            <w:pPr>
              <w:pStyle w:val="TableParagraph"/>
              <w:spacing w:line="222" w:lineRule="exact"/>
              <w:ind w:left="108"/>
              <w:rPr>
                <w:sz w:val="20"/>
              </w:rPr>
            </w:pPr>
            <w:r>
              <w:rPr>
                <w:sz w:val="20"/>
              </w:rPr>
              <w:t>Zn</w:t>
            </w:r>
          </w:p>
        </w:tc>
        <w:tc>
          <w:tcPr>
            <w:tcW w:w="719" w:type="dxa"/>
            <w:tcBorders>
              <w:top w:val="single" w:sz="12" w:space="0" w:color="000000"/>
              <w:bottom w:val="single" w:sz="4" w:space="0" w:color="000000"/>
            </w:tcBorders>
          </w:tcPr>
          <w:p>
            <w:pPr>
              <w:pStyle w:val="TableParagraph"/>
              <w:spacing w:line="222" w:lineRule="exact"/>
              <w:ind w:left="155"/>
              <w:rPr>
                <w:sz w:val="20"/>
              </w:rPr>
            </w:pPr>
            <w:r>
              <w:rPr>
                <w:sz w:val="20"/>
              </w:rPr>
              <w:t>Mn</w:t>
            </w:r>
          </w:p>
        </w:tc>
        <w:tc>
          <w:tcPr>
            <w:tcW w:w="720" w:type="dxa"/>
            <w:tcBorders>
              <w:top w:val="single" w:sz="12" w:space="0" w:color="000000"/>
              <w:bottom w:val="single" w:sz="4" w:space="0" w:color="000000"/>
            </w:tcBorders>
          </w:tcPr>
          <w:p>
            <w:pPr>
              <w:pStyle w:val="TableParagraph"/>
              <w:spacing w:line="222" w:lineRule="exact"/>
              <w:ind w:left="173"/>
              <w:rPr>
                <w:sz w:val="20"/>
              </w:rPr>
            </w:pPr>
            <w:r>
              <w:rPr>
                <w:w w:val="99"/>
                <w:sz w:val="20"/>
              </w:rPr>
              <w:t>C</w:t>
            </w:r>
          </w:p>
        </w:tc>
        <w:tc>
          <w:tcPr>
            <w:tcW w:w="816" w:type="dxa"/>
            <w:tcBorders>
              <w:top w:val="single" w:sz="12" w:space="0" w:color="000000"/>
              <w:bottom w:val="single" w:sz="4" w:space="0" w:color="000000"/>
            </w:tcBorders>
          </w:tcPr>
          <w:p>
            <w:pPr>
              <w:pStyle w:val="TableParagraph"/>
              <w:spacing w:line="222" w:lineRule="exact"/>
              <w:ind w:left="154"/>
              <w:rPr>
                <w:sz w:val="20"/>
              </w:rPr>
            </w:pPr>
            <w:r>
              <w:rPr>
                <w:w w:val="99"/>
                <w:sz w:val="20"/>
              </w:rPr>
              <w:t>O</w:t>
            </w:r>
          </w:p>
        </w:tc>
      </w:tr>
      <w:tr>
        <w:trPr>
          <w:trHeight w:val="255" w:hRule="atLeast"/>
        </w:trPr>
        <w:tc>
          <w:tcPr>
            <w:tcW w:w="799" w:type="dxa"/>
            <w:tcBorders>
              <w:top w:val="single" w:sz="4" w:space="0" w:color="000000"/>
            </w:tcBorders>
          </w:tcPr>
          <w:p>
            <w:pPr>
              <w:pStyle w:val="TableParagraph"/>
              <w:spacing w:line="222" w:lineRule="exact"/>
              <w:ind w:left="124"/>
              <w:rPr>
                <w:sz w:val="20"/>
              </w:rPr>
            </w:pPr>
            <w:r>
              <w:rPr>
                <w:sz w:val="20"/>
              </w:rPr>
              <w:t>XIII</w:t>
            </w:r>
          </w:p>
        </w:tc>
        <w:tc>
          <w:tcPr>
            <w:tcW w:w="1475" w:type="dxa"/>
            <w:tcBorders>
              <w:top w:val="single" w:sz="4" w:space="0" w:color="000000"/>
            </w:tcBorders>
          </w:tcPr>
          <w:p>
            <w:pPr>
              <w:pStyle w:val="TableParagraph"/>
              <w:spacing w:line="222" w:lineRule="exact"/>
              <w:ind w:left="107"/>
              <w:rPr>
                <w:sz w:val="20"/>
              </w:rPr>
            </w:pPr>
            <w:r>
              <w:rPr>
                <w:sz w:val="20"/>
              </w:rPr>
              <w:t>A206/ colada</w:t>
            </w:r>
          </w:p>
        </w:tc>
        <w:tc>
          <w:tcPr>
            <w:tcW w:w="809" w:type="dxa"/>
            <w:tcBorders>
              <w:top w:val="single" w:sz="4" w:space="0" w:color="000000"/>
            </w:tcBorders>
          </w:tcPr>
          <w:p>
            <w:pPr>
              <w:pStyle w:val="TableParagraph"/>
              <w:spacing w:line="222" w:lineRule="exact"/>
              <w:ind w:left="200"/>
              <w:rPr>
                <w:sz w:val="20"/>
              </w:rPr>
            </w:pPr>
            <w:r>
              <w:rPr>
                <w:sz w:val="20"/>
              </w:rPr>
              <w:t>78.52</w:t>
            </w:r>
          </w:p>
        </w:tc>
        <w:tc>
          <w:tcPr>
            <w:tcW w:w="761" w:type="dxa"/>
            <w:tcBorders>
              <w:top w:val="single" w:sz="4" w:space="0" w:color="000000"/>
            </w:tcBorders>
          </w:tcPr>
          <w:p>
            <w:pPr>
              <w:pStyle w:val="TableParagraph"/>
              <w:spacing w:line="222" w:lineRule="exact"/>
              <w:ind w:left="109"/>
              <w:rPr>
                <w:sz w:val="20"/>
              </w:rPr>
            </w:pPr>
            <w:r>
              <w:rPr>
                <w:sz w:val="20"/>
              </w:rPr>
              <w:t>0.89</w:t>
            </w:r>
          </w:p>
        </w:tc>
        <w:tc>
          <w:tcPr>
            <w:tcW w:w="804" w:type="dxa"/>
            <w:tcBorders>
              <w:top w:val="single" w:sz="4" w:space="0" w:color="000000"/>
            </w:tcBorders>
          </w:tcPr>
          <w:p>
            <w:pPr>
              <w:pStyle w:val="TableParagraph"/>
              <w:spacing w:line="222" w:lineRule="exact"/>
              <w:ind w:left="152"/>
              <w:rPr>
                <w:sz w:val="20"/>
              </w:rPr>
            </w:pPr>
            <w:r>
              <w:rPr>
                <w:sz w:val="20"/>
              </w:rPr>
              <w:t>16.75</w:t>
            </w:r>
          </w:p>
        </w:tc>
        <w:tc>
          <w:tcPr>
            <w:tcW w:w="761" w:type="dxa"/>
            <w:tcBorders>
              <w:top w:val="single" w:sz="4" w:space="0" w:color="000000"/>
            </w:tcBorders>
          </w:tcPr>
          <w:p>
            <w:pPr>
              <w:pStyle w:val="TableParagraph"/>
              <w:spacing w:line="222" w:lineRule="exact"/>
              <w:ind w:left="152"/>
              <w:rPr>
                <w:sz w:val="20"/>
              </w:rPr>
            </w:pPr>
            <w:r>
              <w:rPr>
                <w:sz w:val="20"/>
              </w:rPr>
              <w:t>2.52</w:t>
            </w:r>
          </w:p>
        </w:tc>
        <w:tc>
          <w:tcPr>
            <w:tcW w:w="718" w:type="dxa"/>
            <w:tcBorders>
              <w:top w:val="single" w:sz="4" w:space="0" w:color="000000"/>
            </w:tcBorders>
          </w:tcPr>
          <w:p>
            <w:pPr>
              <w:pStyle w:val="TableParagraph"/>
              <w:spacing w:line="222" w:lineRule="exact"/>
              <w:ind w:left="109"/>
              <w:rPr>
                <w:sz w:val="20"/>
              </w:rPr>
            </w:pPr>
            <w:r>
              <w:rPr>
                <w:sz w:val="20"/>
              </w:rPr>
              <w:t>0.59</w:t>
            </w:r>
          </w:p>
        </w:tc>
        <w:tc>
          <w:tcPr>
            <w:tcW w:w="652" w:type="dxa"/>
            <w:tcBorders>
              <w:top w:val="single" w:sz="4" w:space="0" w:color="000000"/>
            </w:tcBorders>
          </w:tcPr>
          <w:p>
            <w:pPr>
              <w:pStyle w:val="TableParagraph"/>
              <w:spacing w:line="222" w:lineRule="exact"/>
              <w:ind w:left="108"/>
              <w:rPr>
                <w:sz w:val="20"/>
              </w:rPr>
            </w:pPr>
            <w:r>
              <w:rPr>
                <w:w w:val="99"/>
                <w:sz w:val="20"/>
              </w:rPr>
              <w:t>0</w:t>
            </w:r>
          </w:p>
        </w:tc>
        <w:tc>
          <w:tcPr>
            <w:tcW w:w="719" w:type="dxa"/>
            <w:tcBorders>
              <w:top w:val="single" w:sz="4" w:space="0" w:color="000000"/>
            </w:tcBorders>
          </w:tcPr>
          <w:p>
            <w:pPr>
              <w:pStyle w:val="TableParagraph"/>
              <w:spacing w:line="222" w:lineRule="exact"/>
              <w:ind w:left="155"/>
              <w:rPr>
                <w:sz w:val="20"/>
              </w:rPr>
            </w:pPr>
            <w:r>
              <w:rPr>
                <w:sz w:val="20"/>
              </w:rPr>
              <w:t>0.73</w:t>
            </w:r>
          </w:p>
        </w:tc>
        <w:tc>
          <w:tcPr>
            <w:tcW w:w="720" w:type="dxa"/>
            <w:tcBorders>
              <w:top w:val="single" w:sz="4" w:space="0" w:color="000000"/>
            </w:tcBorders>
          </w:tcPr>
          <w:p>
            <w:pPr>
              <w:pStyle w:val="TableParagraph"/>
              <w:spacing w:line="222" w:lineRule="exact"/>
              <w:ind w:left="173"/>
              <w:rPr>
                <w:sz w:val="20"/>
              </w:rPr>
            </w:pPr>
            <w:r>
              <w:rPr>
                <w:w w:val="99"/>
                <w:sz w:val="20"/>
              </w:rPr>
              <w:t>0</w:t>
            </w:r>
          </w:p>
        </w:tc>
        <w:tc>
          <w:tcPr>
            <w:tcW w:w="816" w:type="dxa"/>
            <w:tcBorders>
              <w:top w:val="single" w:sz="4" w:space="0" w:color="000000"/>
            </w:tcBorders>
          </w:tcPr>
          <w:p>
            <w:pPr>
              <w:pStyle w:val="TableParagraph"/>
              <w:spacing w:line="222" w:lineRule="exact"/>
              <w:ind w:left="154"/>
              <w:rPr>
                <w:sz w:val="20"/>
              </w:rPr>
            </w:pPr>
            <w:r>
              <w:rPr>
                <w:w w:val="99"/>
                <w:sz w:val="20"/>
              </w:rPr>
              <w:t>0</w:t>
            </w:r>
          </w:p>
        </w:tc>
      </w:tr>
      <w:tr>
        <w:trPr>
          <w:trHeight w:val="295" w:hRule="atLeast"/>
        </w:trPr>
        <w:tc>
          <w:tcPr>
            <w:tcW w:w="799" w:type="dxa"/>
          </w:tcPr>
          <w:p>
            <w:pPr>
              <w:pStyle w:val="TableParagraph"/>
              <w:spacing w:before="26"/>
              <w:ind w:left="124"/>
              <w:rPr>
                <w:sz w:val="20"/>
              </w:rPr>
            </w:pPr>
            <w:r>
              <w:rPr>
                <w:sz w:val="20"/>
              </w:rPr>
              <w:t>XIV</w:t>
            </w:r>
          </w:p>
        </w:tc>
        <w:tc>
          <w:tcPr>
            <w:tcW w:w="1475" w:type="dxa"/>
          </w:tcPr>
          <w:p>
            <w:pPr>
              <w:pStyle w:val="TableParagraph"/>
              <w:spacing w:before="26"/>
              <w:ind w:left="107"/>
              <w:rPr>
                <w:sz w:val="20"/>
              </w:rPr>
            </w:pPr>
            <w:r>
              <w:rPr>
                <w:sz w:val="20"/>
              </w:rPr>
              <w:t>A206/ colada</w:t>
            </w:r>
          </w:p>
        </w:tc>
        <w:tc>
          <w:tcPr>
            <w:tcW w:w="809" w:type="dxa"/>
          </w:tcPr>
          <w:p>
            <w:pPr>
              <w:pStyle w:val="TableParagraph"/>
              <w:spacing w:before="26"/>
              <w:ind w:left="200"/>
              <w:rPr>
                <w:sz w:val="20"/>
              </w:rPr>
            </w:pPr>
            <w:r>
              <w:rPr>
                <w:sz w:val="20"/>
              </w:rPr>
              <w:t>74.60</w:t>
            </w:r>
          </w:p>
        </w:tc>
        <w:tc>
          <w:tcPr>
            <w:tcW w:w="761" w:type="dxa"/>
          </w:tcPr>
          <w:p>
            <w:pPr>
              <w:pStyle w:val="TableParagraph"/>
              <w:spacing w:before="26"/>
              <w:ind w:left="109"/>
              <w:rPr>
                <w:sz w:val="20"/>
              </w:rPr>
            </w:pPr>
            <w:r>
              <w:rPr>
                <w:sz w:val="20"/>
              </w:rPr>
              <w:t>1.04</w:t>
            </w:r>
          </w:p>
        </w:tc>
        <w:tc>
          <w:tcPr>
            <w:tcW w:w="804" w:type="dxa"/>
          </w:tcPr>
          <w:p>
            <w:pPr>
              <w:pStyle w:val="TableParagraph"/>
              <w:spacing w:before="26"/>
              <w:ind w:left="152"/>
              <w:rPr>
                <w:sz w:val="20"/>
              </w:rPr>
            </w:pPr>
            <w:r>
              <w:rPr>
                <w:sz w:val="20"/>
              </w:rPr>
              <w:t>20.62</w:t>
            </w:r>
          </w:p>
        </w:tc>
        <w:tc>
          <w:tcPr>
            <w:tcW w:w="761" w:type="dxa"/>
          </w:tcPr>
          <w:p>
            <w:pPr>
              <w:pStyle w:val="TableParagraph"/>
              <w:spacing w:before="26"/>
              <w:ind w:left="152"/>
              <w:rPr>
                <w:sz w:val="20"/>
              </w:rPr>
            </w:pPr>
            <w:r>
              <w:rPr>
                <w:sz w:val="20"/>
              </w:rPr>
              <w:t>2.19</w:t>
            </w:r>
          </w:p>
        </w:tc>
        <w:tc>
          <w:tcPr>
            <w:tcW w:w="718" w:type="dxa"/>
          </w:tcPr>
          <w:p>
            <w:pPr>
              <w:pStyle w:val="TableParagraph"/>
              <w:spacing w:before="26"/>
              <w:ind w:left="109"/>
              <w:rPr>
                <w:sz w:val="20"/>
              </w:rPr>
            </w:pPr>
            <w:r>
              <w:rPr>
                <w:w w:val="99"/>
                <w:sz w:val="20"/>
              </w:rPr>
              <w:t>0</w:t>
            </w:r>
          </w:p>
        </w:tc>
        <w:tc>
          <w:tcPr>
            <w:tcW w:w="652" w:type="dxa"/>
          </w:tcPr>
          <w:p>
            <w:pPr>
              <w:pStyle w:val="TableParagraph"/>
              <w:spacing w:before="26"/>
              <w:ind w:left="108"/>
              <w:rPr>
                <w:sz w:val="20"/>
              </w:rPr>
            </w:pPr>
            <w:r>
              <w:rPr>
                <w:w w:val="99"/>
                <w:sz w:val="20"/>
              </w:rPr>
              <w:t>0</w:t>
            </w:r>
          </w:p>
        </w:tc>
        <w:tc>
          <w:tcPr>
            <w:tcW w:w="719" w:type="dxa"/>
          </w:tcPr>
          <w:p>
            <w:pPr>
              <w:pStyle w:val="TableParagraph"/>
              <w:spacing w:before="26"/>
              <w:ind w:left="155"/>
              <w:rPr>
                <w:sz w:val="20"/>
              </w:rPr>
            </w:pPr>
            <w:r>
              <w:rPr>
                <w:sz w:val="20"/>
              </w:rPr>
              <w:t>0.94</w:t>
            </w:r>
          </w:p>
        </w:tc>
        <w:tc>
          <w:tcPr>
            <w:tcW w:w="720" w:type="dxa"/>
          </w:tcPr>
          <w:p>
            <w:pPr>
              <w:pStyle w:val="TableParagraph"/>
              <w:spacing w:before="26"/>
              <w:ind w:left="173"/>
              <w:rPr>
                <w:sz w:val="20"/>
              </w:rPr>
            </w:pPr>
            <w:r>
              <w:rPr>
                <w:w w:val="99"/>
                <w:sz w:val="20"/>
              </w:rPr>
              <w:t>0</w:t>
            </w:r>
          </w:p>
        </w:tc>
        <w:tc>
          <w:tcPr>
            <w:tcW w:w="816" w:type="dxa"/>
          </w:tcPr>
          <w:p>
            <w:pPr>
              <w:pStyle w:val="TableParagraph"/>
              <w:spacing w:before="26"/>
              <w:ind w:left="154"/>
              <w:rPr>
                <w:sz w:val="20"/>
              </w:rPr>
            </w:pPr>
            <w:r>
              <w:rPr>
                <w:w w:val="99"/>
                <w:sz w:val="20"/>
              </w:rPr>
              <w:t>0</w:t>
            </w:r>
          </w:p>
        </w:tc>
      </w:tr>
      <w:tr>
        <w:trPr>
          <w:trHeight w:val="300" w:hRule="atLeast"/>
        </w:trPr>
        <w:tc>
          <w:tcPr>
            <w:tcW w:w="799" w:type="dxa"/>
          </w:tcPr>
          <w:p>
            <w:pPr>
              <w:pStyle w:val="TableParagraph"/>
              <w:spacing w:before="31"/>
              <w:ind w:left="124"/>
              <w:rPr>
                <w:sz w:val="20"/>
              </w:rPr>
            </w:pPr>
            <w:r>
              <w:rPr>
                <w:sz w:val="20"/>
              </w:rPr>
              <w:t>XV</w:t>
            </w:r>
          </w:p>
        </w:tc>
        <w:tc>
          <w:tcPr>
            <w:tcW w:w="1475" w:type="dxa"/>
          </w:tcPr>
          <w:p>
            <w:pPr>
              <w:pStyle w:val="TableParagraph"/>
              <w:spacing w:before="31"/>
              <w:ind w:left="107"/>
              <w:rPr>
                <w:sz w:val="20"/>
              </w:rPr>
            </w:pPr>
            <w:r>
              <w:rPr>
                <w:sz w:val="20"/>
              </w:rPr>
              <w:t>A206/ colada</w:t>
            </w:r>
          </w:p>
        </w:tc>
        <w:tc>
          <w:tcPr>
            <w:tcW w:w="809" w:type="dxa"/>
          </w:tcPr>
          <w:p>
            <w:pPr>
              <w:pStyle w:val="TableParagraph"/>
              <w:spacing w:before="31"/>
              <w:ind w:left="200"/>
              <w:rPr>
                <w:sz w:val="20"/>
              </w:rPr>
            </w:pPr>
            <w:r>
              <w:rPr>
                <w:sz w:val="20"/>
              </w:rPr>
              <w:t>72.66</w:t>
            </w:r>
          </w:p>
        </w:tc>
        <w:tc>
          <w:tcPr>
            <w:tcW w:w="761" w:type="dxa"/>
          </w:tcPr>
          <w:p>
            <w:pPr>
              <w:pStyle w:val="TableParagraph"/>
              <w:spacing w:before="31"/>
              <w:ind w:left="109"/>
              <w:rPr>
                <w:sz w:val="20"/>
              </w:rPr>
            </w:pPr>
            <w:r>
              <w:rPr>
                <w:sz w:val="20"/>
              </w:rPr>
              <w:t>2.77</w:t>
            </w:r>
          </w:p>
        </w:tc>
        <w:tc>
          <w:tcPr>
            <w:tcW w:w="804" w:type="dxa"/>
          </w:tcPr>
          <w:p>
            <w:pPr>
              <w:pStyle w:val="TableParagraph"/>
              <w:spacing w:before="31"/>
              <w:ind w:left="152"/>
              <w:rPr>
                <w:sz w:val="20"/>
              </w:rPr>
            </w:pPr>
            <w:r>
              <w:rPr>
                <w:sz w:val="20"/>
              </w:rPr>
              <w:t>3.80</w:t>
            </w:r>
          </w:p>
        </w:tc>
        <w:tc>
          <w:tcPr>
            <w:tcW w:w="761" w:type="dxa"/>
          </w:tcPr>
          <w:p>
            <w:pPr>
              <w:pStyle w:val="TableParagraph"/>
              <w:spacing w:before="31"/>
              <w:ind w:left="152"/>
              <w:rPr>
                <w:sz w:val="20"/>
              </w:rPr>
            </w:pPr>
            <w:r>
              <w:rPr>
                <w:sz w:val="20"/>
              </w:rPr>
              <w:t>1.76</w:t>
            </w:r>
          </w:p>
        </w:tc>
        <w:tc>
          <w:tcPr>
            <w:tcW w:w="718" w:type="dxa"/>
          </w:tcPr>
          <w:p>
            <w:pPr>
              <w:pStyle w:val="TableParagraph"/>
              <w:spacing w:before="31"/>
              <w:ind w:left="109"/>
              <w:rPr>
                <w:sz w:val="20"/>
              </w:rPr>
            </w:pPr>
            <w:r>
              <w:rPr>
                <w:sz w:val="20"/>
              </w:rPr>
              <w:t>13.58</w:t>
            </w:r>
          </w:p>
        </w:tc>
        <w:tc>
          <w:tcPr>
            <w:tcW w:w="652" w:type="dxa"/>
          </w:tcPr>
          <w:p>
            <w:pPr>
              <w:pStyle w:val="TableParagraph"/>
              <w:spacing w:before="31"/>
              <w:ind w:left="108"/>
              <w:rPr>
                <w:sz w:val="20"/>
              </w:rPr>
            </w:pPr>
            <w:r>
              <w:rPr>
                <w:w w:val="99"/>
                <w:sz w:val="20"/>
              </w:rPr>
              <w:t>0</w:t>
            </w:r>
          </w:p>
        </w:tc>
        <w:tc>
          <w:tcPr>
            <w:tcW w:w="719" w:type="dxa"/>
          </w:tcPr>
          <w:p>
            <w:pPr>
              <w:pStyle w:val="TableParagraph"/>
              <w:spacing w:before="31"/>
              <w:ind w:left="155"/>
              <w:rPr>
                <w:sz w:val="20"/>
              </w:rPr>
            </w:pPr>
            <w:r>
              <w:rPr>
                <w:w w:val="99"/>
                <w:sz w:val="20"/>
              </w:rPr>
              <w:t>0</w:t>
            </w:r>
          </w:p>
        </w:tc>
        <w:tc>
          <w:tcPr>
            <w:tcW w:w="720" w:type="dxa"/>
          </w:tcPr>
          <w:p>
            <w:pPr>
              <w:pStyle w:val="TableParagraph"/>
              <w:spacing w:before="31"/>
              <w:ind w:left="173"/>
              <w:rPr>
                <w:sz w:val="20"/>
              </w:rPr>
            </w:pPr>
            <w:r>
              <w:rPr>
                <w:w w:val="99"/>
                <w:sz w:val="20"/>
              </w:rPr>
              <w:t>0</w:t>
            </w:r>
          </w:p>
        </w:tc>
        <w:tc>
          <w:tcPr>
            <w:tcW w:w="816" w:type="dxa"/>
          </w:tcPr>
          <w:p>
            <w:pPr>
              <w:pStyle w:val="TableParagraph"/>
              <w:spacing w:before="31"/>
              <w:ind w:left="154"/>
              <w:rPr>
                <w:sz w:val="20"/>
              </w:rPr>
            </w:pPr>
            <w:r>
              <w:rPr>
                <w:sz w:val="20"/>
              </w:rPr>
              <w:t>5.43</w:t>
            </w:r>
          </w:p>
        </w:tc>
      </w:tr>
      <w:tr>
        <w:trPr>
          <w:trHeight w:val="300" w:hRule="atLeast"/>
        </w:trPr>
        <w:tc>
          <w:tcPr>
            <w:tcW w:w="799" w:type="dxa"/>
          </w:tcPr>
          <w:p>
            <w:pPr>
              <w:pStyle w:val="TableParagraph"/>
              <w:spacing w:before="31"/>
              <w:ind w:left="124"/>
              <w:rPr>
                <w:sz w:val="20"/>
              </w:rPr>
            </w:pPr>
            <w:r>
              <w:rPr>
                <w:sz w:val="20"/>
              </w:rPr>
              <w:t>XVI</w:t>
            </w:r>
          </w:p>
        </w:tc>
        <w:tc>
          <w:tcPr>
            <w:tcW w:w="1475" w:type="dxa"/>
          </w:tcPr>
          <w:p>
            <w:pPr>
              <w:pStyle w:val="TableParagraph"/>
              <w:spacing w:before="31"/>
              <w:ind w:left="107"/>
              <w:rPr>
                <w:sz w:val="20"/>
              </w:rPr>
            </w:pPr>
            <w:r>
              <w:rPr>
                <w:sz w:val="20"/>
              </w:rPr>
              <w:t>A206/ colada</w:t>
            </w:r>
          </w:p>
        </w:tc>
        <w:tc>
          <w:tcPr>
            <w:tcW w:w="809" w:type="dxa"/>
          </w:tcPr>
          <w:p>
            <w:pPr>
              <w:pStyle w:val="TableParagraph"/>
              <w:spacing w:before="31"/>
              <w:ind w:left="200"/>
              <w:rPr>
                <w:sz w:val="20"/>
              </w:rPr>
            </w:pPr>
            <w:r>
              <w:rPr>
                <w:sz w:val="20"/>
              </w:rPr>
              <w:t>97.61</w:t>
            </w:r>
          </w:p>
        </w:tc>
        <w:tc>
          <w:tcPr>
            <w:tcW w:w="761" w:type="dxa"/>
          </w:tcPr>
          <w:p>
            <w:pPr>
              <w:pStyle w:val="TableParagraph"/>
              <w:spacing w:before="31"/>
              <w:ind w:left="109"/>
              <w:rPr>
                <w:sz w:val="20"/>
              </w:rPr>
            </w:pPr>
            <w:r>
              <w:rPr>
                <w:w w:val="99"/>
                <w:sz w:val="20"/>
              </w:rPr>
              <w:t>0</w:t>
            </w:r>
          </w:p>
        </w:tc>
        <w:tc>
          <w:tcPr>
            <w:tcW w:w="804" w:type="dxa"/>
          </w:tcPr>
          <w:p>
            <w:pPr>
              <w:pStyle w:val="TableParagraph"/>
              <w:spacing w:before="31"/>
              <w:ind w:left="152"/>
              <w:rPr>
                <w:sz w:val="20"/>
              </w:rPr>
            </w:pPr>
            <w:r>
              <w:rPr>
                <w:w w:val="99"/>
                <w:sz w:val="20"/>
              </w:rPr>
              <w:t>0</w:t>
            </w:r>
          </w:p>
        </w:tc>
        <w:tc>
          <w:tcPr>
            <w:tcW w:w="761" w:type="dxa"/>
          </w:tcPr>
          <w:p>
            <w:pPr>
              <w:pStyle w:val="TableParagraph"/>
              <w:spacing w:before="31"/>
              <w:ind w:left="152"/>
              <w:rPr>
                <w:sz w:val="20"/>
              </w:rPr>
            </w:pPr>
            <w:r>
              <w:rPr>
                <w:sz w:val="20"/>
              </w:rPr>
              <w:t>1.80</w:t>
            </w:r>
          </w:p>
        </w:tc>
        <w:tc>
          <w:tcPr>
            <w:tcW w:w="718" w:type="dxa"/>
          </w:tcPr>
          <w:p>
            <w:pPr>
              <w:pStyle w:val="TableParagraph"/>
              <w:spacing w:before="31"/>
              <w:ind w:left="109"/>
              <w:rPr>
                <w:sz w:val="20"/>
              </w:rPr>
            </w:pPr>
            <w:r>
              <w:rPr>
                <w:sz w:val="20"/>
              </w:rPr>
              <w:t>0.59</w:t>
            </w:r>
          </w:p>
        </w:tc>
        <w:tc>
          <w:tcPr>
            <w:tcW w:w="652" w:type="dxa"/>
          </w:tcPr>
          <w:p>
            <w:pPr>
              <w:pStyle w:val="TableParagraph"/>
              <w:spacing w:before="31"/>
              <w:ind w:left="108"/>
              <w:rPr>
                <w:sz w:val="20"/>
              </w:rPr>
            </w:pPr>
            <w:r>
              <w:rPr>
                <w:w w:val="99"/>
                <w:sz w:val="20"/>
              </w:rPr>
              <w:t>0</w:t>
            </w:r>
          </w:p>
        </w:tc>
        <w:tc>
          <w:tcPr>
            <w:tcW w:w="719" w:type="dxa"/>
          </w:tcPr>
          <w:p>
            <w:pPr>
              <w:pStyle w:val="TableParagraph"/>
              <w:spacing w:before="31"/>
              <w:ind w:left="155"/>
              <w:rPr>
                <w:sz w:val="20"/>
              </w:rPr>
            </w:pPr>
            <w:r>
              <w:rPr>
                <w:w w:val="99"/>
                <w:sz w:val="20"/>
              </w:rPr>
              <w:t>0</w:t>
            </w:r>
          </w:p>
        </w:tc>
        <w:tc>
          <w:tcPr>
            <w:tcW w:w="720" w:type="dxa"/>
          </w:tcPr>
          <w:p>
            <w:pPr>
              <w:pStyle w:val="TableParagraph"/>
              <w:spacing w:before="31"/>
              <w:ind w:left="173"/>
              <w:rPr>
                <w:sz w:val="20"/>
              </w:rPr>
            </w:pPr>
            <w:r>
              <w:rPr>
                <w:w w:val="99"/>
                <w:sz w:val="20"/>
              </w:rPr>
              <w:t>0</w:t>
            </w:r>
          </w:p>
        </w:tc>
        <w:tc>
          <w:tcPr>
            <w:tcW w:w="816" w:type="dxa"/>
          </w:tcPr>
          <w:p>
            <w:pPr>
              <w:pStyle w:val="TableParagraph"/>
              <w:spacing w:before="31"/>
              <w:ind w:left="154"/>
              <w:rPr>
                <w:sz w:val="20"/>
              </w:rPr>
            </w:pPr>
            <w:r>
              <w:rPr>
                <w:w w:val="99"/>
                <w:sz w:val="20"/>
              </w:rPr>
              <w:t>0</w:t>
            </w:r>
          </w:p>
        </w:tc>
      </w:tr>
      <w:tr>
        <w:trPr>
          <w:trHeight w:val="300" w:hRule="atLeast"/>
        </w:trPr>
        <w:tc>
          <w:tcPr>
            <w:tcW w:w="799" w:type="dxa"/>
          </w:tcPr>
          <w:p>
            <w:pPr>
              <w:pStyle w:val="TableParagraph"/>
              <w:spacing w:before="31"/>
              <w:ind w:left="124"/>
              <w:rPr>
                <w:sz w:val="20"/>
              </w:rPr>
            </w:pPr>
            <w:r>
              <w:rPr>
                <w:sz w:val="20"/>
              </w:rPr>
              <w:t>XVII</w:t>
            </w:r>
          </w:p>
        </w:tc>
        <w:tc>
          <w:tcPr>
            <w:tcW w:w="1475" w:type="dxa"/>
          </w:tcPr>
          <w:p>
            <w:pPr>
              <w:pStyle w:val="TableParagraph"/>
              <w:spacing w:before="31"/>
              <w:ind w:left="107"/>
              <w:rPr>
                <w:sz w:val="20"/>
              </w:rPr>
            </w:pPr>
            <w:r>
              <w:rPr>
                <w:sz w:val="20"/>
              </w:rPr>
              <w:t>A206/ colada</w:t>
            </w:r>
          </w:p>
        </w:tc>
        <w:tc>
          <w:tcPr>
            <w:tcW w:w="809" w:type="dxa"/>
          </w:tcPr>
          <w:p>
            <w:pPr>
              <w:pStyle w:val="TableParagraph"/>
              <w:spacing w:before="31"/>
              <w:ind w:left="200"/>
              <w:rPr>
                <w:sz w:val="20"/>
              </w:rPr>
            </w:pPr>
            <w:r>
              <w:rPr>
                <w:sz w:val="20"/>
              </w:rPr>
              <w:t>1.95</w:t>
            </w:r>
          </w:p>
        </w:tc>
        <w:tc>
          <w:tcPr>
            <w:tcW w:w="761" w:type="dxa"/>
          </w:tcPr>
          <w:p>
            <w:pPr>
              <w:pStyle w:val="TableParagraph"/>
              <w:spacing w:before="31"/>
              <w:ind w:left="109"/>
              <w:rPr>
                <w:sz w:val="20"/>
              </w:rPr>
            </w:pPr>
            <w:r>
              <w:rPr>
                <w:sz w:val="20"/>
              </w:rPr>
              <w:t>94.37</w:t>
            </w:r>
          </w:p>
        </w:tc>
        <w:tc>
          <w:tcPr>
            <w:tcW w:w="804" w:type="dxa"/>
          </w:tcPr>
          <w:p>
            <w:pPr>
              <w:pStyle w:val="TableParagraph"/>
              <w:spacing w:before="31"/>
              <w:ind w:left="152"/>
              <w:rPr>
                <w:sz w:val="20"/>
              </w:rPr>
            </w:pPr>
            <w:r>
              <w:rPr>
                <w:w w:val="99"/>
                <w:sz w:val="20"/>
              </w:rPr>
              <w:t>0</w:t>
            </w:r>
          </w:p>
        </w:tc>
        <w:tc>
          <w:tcPr>
            <w:tcW w:w="761" w:type="dxa"/>
          </w:tcPr>
          <w:p>
            <w:pPr>
              <w:pStyle w:val="TableParagraph"/>
              <w:spacing w:before="31"/>
              <w:ind w:left="152"/>
              <w:rPr>
                <w:sz w:val="20"/>
              </w:rPr>
            </w:pPr>
            <w:r>
              <w:rPr>
                <w:w w:val="99"/>
                <w:sz w:val="20"/>
              </w:rPr>
              <w:t>0</w:t>
            </w:r>
          </w:p>
        </w:tc>
        <w:tc>
          <w:tcPr>
            <w:tcW w:w="718" w:type="dxa"/>
          </w:tcPr>
          <w:p>
            <w:pPr>
              <w:pStyle w:val="TableParagraph"/>
              <w:spacing w:before="31"/>
              <w:ind w:left="109"/>
              <w:rPr>
                <w:sz w:val="20"/>
              </w:rPr>
            </w:pPr>
            <w:r>
              <w:rPr>
                <w:w w:val="99"/>
                <w:sz w:val="20"/>
              </w:rPr>
              <w:t>0</w:t>
            </w:r>
          </w:p>
        </w:tc>
        <w:tc>
          <w:tcPr>
            <w:tcW w:w="652" w:type="dxa"/>
          </w:tcPr>
          <w:p>
            <w:pPr>
              <w:pStyle w:val="TableParagraph"/>
              <w:spacing w:before="31"/>
              <w:ind w:left="108"/>
              <w:rPr>
                <w:sz w:val="20"/>
              </w:rPr>
            </w:pPr>
            <w:r>
              <w:rPr>
                <w:w w:val="99"/>
                <w:sz w:val="20"/>
              </w:rPr>
              <w:t>0</w:t>
            </w:r>
          </w:p>
        </w:tc>
        <w:tc>
          <w:tcPr>
            <w:tcW w:w="719" w:type="dxa"/>
          </w:tcPr>
          <w:p>
            <w:pPr>
              <w:pStyle w:val="TableParagraph"/>
              <w:spacing w:before="31"/>
              <w:ind w:left="155"/>
              <w:rPr>
                <w:sz w:val="20"/>
              </w:rPr>
            </w:pPr>
            <w:r>
              <w:rPr>
                <w:w w:val="99"/>
                <w:sz w:val="20"/>
              </w:rPr>
              <w:t>0</w:t>
            </w:r>
          </w:p>
        </w:tc>
        <w:tc>
          <w:tcPr>
            <w:tcW w:w="720" w:type="dxa"/>
          </w:tcPr>
          <w:p>
            <w:pPr>
              <w:pStyle w:val="TableParagraph"/>
              <w:spacing w:before="31"/>
              <w:ind w:left="173"/>
              <w:rPr>
                <w:sz w:val="20"/>
              </w:rPr>
            </w:pPr>
            <w:r>
              <w:rPr>
                <w:sz w:val="20"/>
              </w:rPr>
              <w:t>3.67</w:t>
            </w:r>
          </w:p>
        </w:tc>
        <w:tc>
          <w:tcPr>
            <w:tcW w:w="816" w:type="dxa"/>
          </w:tcPr>
          <w:p>
            <w:pPr>
              <w:pStyle w:val="TableParagraph"/>
              <w:spacing w:before="31"/>
              <w:ind w:left="154"/>
              <w:rPr>
                <w:sz w:val="20"/>
              </w:rPr>
            </w:pPr>
            <w:r>
              <w:rPr>
                <w:w w:val="99"/>
                <w:sz w:val="20"/>
              </w:rPr>
              <w:t>0</w:t>
            </w:r>
          </w:p>
        </w:tc>
      </w:tr>
      <w:tr>
        <w:trPr>
          <w:trHeight w:val="348" w:hRule="atLeast"/>
        </w:trPr>
        <w:tc>
          <w:tcPr>
            <w:tcW w:w="799" w:type="dxa"/>
            <w:tcBorders>
              <w:bottom w:val="single" w:sz="4" w:space="0" w:color="000000"/>
            </w:tcBorders>
          </w:tcPr>
          <w:p>
            <w:pPr>
              <w:pStyle w:val="TableParagraph"/>
              <w:spacing w:before="31"/>
              <w:ind w:left="124"/>
              <w:rPr>
                <w:sz w:val="20"/>
              </w:rPr>
            </w:pPr>
            <w:r>
              <w:rPr>
                <w:sz w:val="20"/>
              </w:rPr>
              <w:t>XVIII</w:t>
            </w:r>
          </w:p>
        </w:tc>
        <w:tc>
          <w:tcPr>
            <w:tcW w:w="1475" w:type="dxa"/>
            <w:tcBorders>
              <w:bottom w:val="single" w:sz="4" w:space="0" w:color="000000"/>
            </w:tcBorders>
          </w:tcPr>
          <w:p>
            <w:pPr>
              <w:pStyle w:val="TableParagraph"/>
              <w:spacing w:before="31"/>
              <w:ind w:left="107"/>
              <w:rPr>
                <w:sz w:val="20"/>
              </w:rPr>
            </w:pPr>
            <w:r>
              <w:rPr>
                <w:sz w:val="20"/>
              </w:rPr>
              <w:t>A206/ colada</w:t>
            </w:r>
          </w:p>
        </w:tc>
        <w:tc>
          <w:tcPr>
            <w:tcW w:w="809" w:type="dxa"/>
            <w:tcBorders>
              <w:bottom w:val="single" w:sz="4" w:space="0" w:color="000000"/>
            </w:tcBorders>
          </w:tcPr>
          <w:p>
            <w:pPr>
              <w:pStyle w:val="TableParagraph"/>
              <w:spacing w:before="31"/>
              <w:ind w:left="200"/>
              <w:rPr>
                <w:sz w:val="20"/>
              </w:rPr>
            </w:pPr>
            <w:r>
              <w:rPr>
                <w:sz w:val="20"/>
              </w:rPr>
              <w:t>97.27</w:t>
            </w:r>
          </w:p>
        </w:tc>
        <w:tc>
          <w:tcPr>
            <w:tcW w:w="761" w:type="dxa"/>
            <w:tcBorders>
              <w:bottom w:val="single" w:sz="4" w:space="0" w:color="000000"/>
            </w:tcBorders>
          </w:tcPr>
          <w:p>
            <w:pPr>
              <w:pStyle w:val="TableParagraph"/>
              <w:spacing w:before="31"/>
              <w:ind w:left="109"/>
              <w:rPr>
                <w:sz w:val="20"/>
              </w:rPr>
            </w:pPr>
            <w:r>
              <w:rPr>
                <w:w w:val="99"/>
                <w:sz w:val="20"/>
              </w:rPr>
              <w:t>0</w:t>
            </w:r>
          </w:p>
        </w:tc>
        <w:tc>
          <w:tcPr>
            <w:tcW w:w="804" w:type="dxa"/>
            <w:tcBorders>
              <w:bottom w:val="single" w:sz="4" w:space="0" w:color="000000"/>
            </w:tcBorders>
          </w:tcPr>
          <w:p>
            <w:pPr>
              <w:pStyle w:val="TableParagraph"/>
              <w:spacing w:before="31"/>
              <w:ind w:left="152"/>
              <w:rPr>
                <w:sz w:val="20"/>
              </w:rPr>
            </w:pPr>
            <w:r>
              <w:rPr>
                <w:w w:val="99"/>
                <w:sz w:val="20"/>
              </w:rPr>
              <w:t>0</w:t>
            </w:r>
          </w:p>
        </w:tc>
        <w:tc>
          <w:tcPr>
            <w:tcW w:w="761" w:type="dxa"/>
            <w:tcBorders>
              <w:bottom w:val="single" w:sz="4" w:space="0" w:color="000000"/>
            </w:tcBorders>
          </w:tcPr>
          <w:p>
            <w:pPr>
              <w:pStyle w:val="TableParagraph"/>
              <w:spacing w:before="31"/>
              <w:ind w:left="152"/>
              <w:rPr>
                <w:sz w:val="20"/>
              </w:rPr>
            </w:pPr>
            <w:r>
              <w:rPr>
                <w:sz w:val="20"/>
              </w:rPr>
              <w:t>1.99</w:t>
            </w:r>
          </w:p>
        </w:tc>
        <w:tc>
          <w:tcPr>
            <w:tcW w:w="718" w:type="dxa"/>
            <w:tcBorders>
              <w:bottom w:val="single" w:sz="4" w:space="0" w:color="000000"/>
            </w:tcBorders>
          </w:tcPr>
          <w:p>
            <w:pPr>
              <w:pStyle w:val="TableParagraph"/>
              <w:spacing w:before="31"/>
              <w:ind w:left="109"/>
              <w:rPr>
                <w:sz w:val="20"/>
              </w:rPr>
            </w:pPr>
            <w:r>
              <w:rPr>
                <w:sz w:val="20"/>
              </w:rPr>
              <w:t>0.74</w:t>
            </w:r>
          </w:p>
        </w:tc>
        <w:tc>
          <w:tcPr>
            <w:tcW w:w="652" w:type="dxa"/>
            <w:tcBorders>
              <w:bottom w:val="single" w:sz="4" w:space="0" w:color="000000"/>
            </w:tcBorders>
          </w:tcPr>
          <w:p>
            <w:pPr>
              <w:pStyle w:val="TableParagraph"/>
              <w:spacing w:before="31"/>
              <w:ind w:left="108"/>
              <w:rPr>
                <w:sz w:val="20"/>
              </w:rPr>
            </w:pPr>
            <w:r>
              <w:rPr>
                <w:w w:val="99"/>
                <w:sz w:val="20"/>
              </w:rPr>
              <w:t>0</w:t>
            </w:r>
          </w:p>
        </w:tc>
        <w:tc>
          <w:tcPr>
            <w:tcW w:w="719" w:type="dxa"/>
            <w:tcBorders>
              <w:bottom w:val="single" w:sz="4" w:space="0" w:color="000000"/>
            </w:tcBorders>
          </w:tcPr>
          <w:p>
            <w:pPr>
              <w:pStyle w:val="TableParagraph"/>
              <w:spacing w:before="31"/>
              <w:ind w:left="155"/>
              <w:rPr>
                <w:sz w:val="20"/>
              </w:rPr>
            </w:pPr>
            <w:r>
              <w:rPr>
                <w:w w:val="99"/>
                <w:sz w:val="20"/>
              </w:rPr>
              <w:t>0</w:t>
            </w:r>
          </w:p>
        </w:tc>
        <w:tc>
          <w:tcPr>
            <w:tcW w:w="720" w:type="dxa"/>
            <w:tcBorders>
              <w:bottom w:val="single" w:sz="4" w:space="0" w:color="000000"/>
            </w:tcBorders>
          </w:tcPr>
          <w:p>
            <w:pPr>
              <w:pStyle w:val="TableParagraph"/>
              <w:spacing w:before="31"/>
              <w:ind w:left="173"/>
              <w:rPr>
                <w:sz w:val="20"/>
              </w:rPr>
            </w:pPr>
            <w:r>
              <w:rPr>
                <w:w w:val="99"/>
                <w:sz w:val="20"/>
              </w:rPr>
              <w:t>0</w:t>
            </w:r>
          </w:p>
        </w:tc>
        <w:tc>
          <w:tcPr>
            <w:tcW w:w="816" w:type="dxa"/>
            <w:tcBorders>
              <w:bottom w:val="single" w:sz="4" w:space="0" w:color="000000"/>
            </w:tcBorders>
          </w:tcPr>
          <w:p>
            <w:pPr>
              <w:pStyle w:val="TableParagraph"/>
              <w:spacing w:before="31"/>
              <w:ind w:left="154"/>
              <w:rPr>
                <w:sz w:val="20"/>
              </w:rPr>
            </w:pPr>
            <w:r>
              <w:rPr>
                <w:w w:val="99"/>
                <w:sz w:val="20"/>
              </w:rPr>
              <w:t>0</w:t>
            </w:r>
          </w:p>
        </w:tc>
      </w:tr>
      <w:tr>
        <w:trPr>
          <w:trHeight w:val="256" w:hRule="atLeast"/>
        </w:trPr>
        <w:tc>
          <w:tcPr>
            <w:tcW w:w="799" w:type="dxa"/>
            <w:tcBorders>
              <w:top w:val="single" w:sz="4" w:space="0" w:color="000000"/>
            </w:tcBorders>
          </w:tcPr>
          <w:p>
            <w:pPr>
              <w:pStyle w:val="TableParagraph"/>
              <w:spacing w:line="222" w:lineRule="exact"/>
              <w:ind w:left="124"/>
              <w:rPr>
                <w:sz w:val="20"/>
              </w:rPr>
            </w:pPr>
            <w:r>
              <w:rPr>
                <w:sz w:val="20"/>
              </w:rPr>
              <w:t>XIX</w:t>
            </w:r>
          </w:p>
        </w:tc>
        <w:tc>
          <w:tcPr>
            <w:tcW w:w="1475" w:type="dxa"/>
            <w:tcBorders>
              <w:top w:val="single" w:sz="4" w:space="0" w:color="000000"/>
            </w:tcBorders>
          </w:tcPr>
          <w:p>
            <w:pPr>
              <w:pStyle w:val="TableParagraph"/>
              <w:spacing w:line="222" w:lineRule="exact"/>
              <w:ind w:left="107"/>
              <w:rPr>
                <w:sz w:val="20"/>
              </w:rPr>
            </w:pPr>
            <w:r>
              <w:rPr>
                <w:sz w:val="20"/>
              </w:rPr>
              <w:t>A206/ T4</w:t>
            </w:r>
          </w:p>
        </w:tc>
        <w:tc>
          <w:tcPr>
            <w:tcW w:w="809" w:type="dxa"/>
            <w:tcBorders>
              <w:top w:val="single" w:sz="4" w:space="0" w:color="000000"/>
            </w:tcBorders>
          </w:tcPr>
          <w:p>
            <w:pPr>
              <w:pStyle w:val="TableParagraph"/>
              <w:spacing w:line="222" w:lineRule="exact"/>
              <w:ind w:left="200"/>
              <w:rPr>
                <w:sz w:val="20"/>
              </w:rPr>
            </w:pPr>
            <w:r>
              <w:rPr>
                <w:sz w:val="20"/>
              </w:rPr>
              <w:t>76.14</w:t>
            </w:r>
          </w:p>
        </w:tc>
        <w:tc>
          <w:tcPr>
            <w:tcW w:w="761" w:type="dxa"/>
            <w:tcBorders>
              <w:top w:val="single" w:sz="4" w:space="0" w:color="000000"/>
            </w:tcBorders>
          </w:tcPr>
          <w:p>
            <w:pPr>
              <w:pStyle w:val="TableParagraph"/>
              <w:spacing w:line="222" w:lineRule="exact"/>
              <w:ind w:left="109"/>
              <w:rPr>
                <w:sz w:val="20"/>
              </w:rPr>
            </w:pPr>
            <w:r>
              <w:rPr>
                <w:sz w:val="20"/>
              </w:rPr>
              <w:t>0.53</w:t>
            </w:r>
          </w:p>
        </w:tc>
        <w:tc>
          <w:tcPr>
            <w:tcW w:w="804" w:type="dxa"/>
            <w:tcBorders>
              <w:top w:val="single" w:sz="4" w:space="0" w:color="000000"/>
            </w:tcBorders>
          </w:tcPr>
          <w:p>
            <w:pPr>
              <w:pStyle w:val="TableParagraph"/>
              <w:spacing w:line="222" w:lineRule="exact"/>
              <w:ind w:left="152"/>
              <w:rPr>
                <w:sz w:val="20"/>
              </w:rPr>
            </w:pPr>
            <w:r>
              <w:rPr>
                <w:sz w:val="20"/>
              </w:rPr>
              <w:t>20.59</w:t>
            </w:r>
          </w:p>
        </w:tc>
        <w:tc>
          <w:tcPr>
            <w:tcW w:w="761" w:type="dxa"/>
            <w:tcBorders>
              <w:top w:val="single" w:sz="4" w:space="0" w:color="000000"/>
            </w:tcBorders>
          </w:tcPr>
          <w:p>
            <w:pPr>
              <w:pStyle w:val="TableParagraph"/>
              <w:spacing w:line="222" w:lineRule="exact"/>
              <w:ind w:left="152"/>
              <w:rPr>
                <w:sz w:val="20"/>
              </w:rPr>
            </w:pPr>
            <w:r>
              <w:rPr>
                <w:sz w:val="20"/>
              </w:rPr>
              <w:t>1.27</w:t>
            </w:r>
          </w:p>
        </w:tc>
        <w:tc>
          <w:tcPr>
            <w:tcW w:w="718" w:type="dxa"/>
            <w:tcBorders>
              <w:top w:val="single" w:sz="4" w:space="0" w:color="000000"/>
            </w:tcBorders>
          </w:tcPr>
          <w:p>
            <w:pPr>
              <w:pStyle w:val="TableParagraph"/>
              <w:spacing w:line="222" w:lineRule="exact"/>
              <w:ind w:left="109"/>
              <w:rPr>
                <w:sz w:val="20"/>
              </w:rPr>
            </w:pPr>
            <w:r>
              <w:rPr>
                <w:sz w:val="20"/>
              </w:rPr>
              <w:t>0.60</w:t>
            </w:r>
          </w:p>
        </w:tc>
        <w:tc>
          <w:tcPr>
            <w:tcW w:w="652" w:type="dxa"/>
            <w:tcBorders>
              <w:top w:val="single" w:sz="4" w:space="0" w:color="000000"/>
            </w:tcBorders>
          </w:tcPr>
          <w:p>
            <w:pPr>
              <w:pStyle w:val="TableParagraph"/>
              <w:spacing w:line="222" w:lineRule="exact"/>
              <w:ind w:left="108"/>
              <w:rPr>
                <w:sz w:val="20"/>
              </w:rPr>
            </w:pPr>
            <w:r>
              <w:rPr>
                <w:w w:val="99"/>
                <w:sz w:val="20"/>
              </w:rPr>
              <w:t>0</w:t>
            </w:r>
          </w:p>
        </w:tc>
        <w:tc>
          <w:tcPr>
            <w:tcW w:w="719" w:type="dxa"/>
            <w:tcBorders>
              <w:top w:val="single" w:sz="4" w:space="0" w:color="000000"/>
            </w:tcBorders>
          </w:tcPr>
          <w:p>
            <w:pPr>
              <w:pStyle w:val="TableParagraph"/>
              <w:spacing w:line="222" w:lineRule="exact"/>
              <w:ind w:left="155"/>
              <w:rPr>
                <w:sz w:val="20"/>
              </w:rPr>
            </w:pPr>
            <w:r>
              <w:rPr>
                <w:sz w:val="20"/>
              </w:rPr>
              <w:t>0.87</w:t>
            </w:r>
          </w:p>
        </w:tc>
        <w:tc>
          <w:tcPr>
            <w:tcW w:w="720" w:type="dxa"/>
            <w:tcBorders>
              <w:top w:val="single" w:sz="4" w:space="0" w:color="000000"/>
            </w:tcBorders>
          </w:tcPr>
          <w:p>
            <w:pPr>
              <w:pStyle w:val="TableParagraph"/>
              <w:spacing w:line="222" w:lineRule="exact"/>
              <w:ind w:left="173"/>
              <w:rPr>
                <w:sz w:val="20"/>
              </w:rPr>
            </w:pPr>
            <w:r>
              <w:rPr>
                <w:w w:val="99"/>
                <w:sz w:val="20"/>
              </w:rPr>
              <w:t>0</w:t>
            </w:r>
          </w:p>
        </w:tc>
        <w:tc>
          <w:tcPr>
            <w:tcW w:w="816" w:type="dxa"/>
            <w:tcBorders>
              <w:top w:val="single" w:sz="4" w:space="0" w:color="000000"/>
            </w:tcBorders>
          </w:tcPr>
          <w:p>
            <w:pPr>
              <w:pStyle w:val="TableParagraph"/>
              <w:spacing w:line="222" w:lineRule="exact"/>
              <w:ind w:left="154"/>
              <w:rPr>
                <w:sz w:val="20"/>
              </w:rPr>
            </w:pPr>
            <w:r>
              <w:rPr>
                <w:w w:val="99"/>
                <w:sz w:val="20"/>
              </w:rPr>
              <w:t>0</w:t>
            </w:r>
          </w:p>
        </w:tc>
      </w:tr>
      <w:tr>
        <w:trPr>
          <w:trHeight w:val="295" w:hRule="atLeast"/>
        </w:trPr>
        <w:tc>
          <w:tcPr>
            <w:tcW w:w="799" w:type="dxa"/>
          </w:tcPr>
          <w:p>
            <w:pPr>
              <w:pStyle w:val="TableParagraph"/>
              <w:spacing w:before="27"/>
              <w:ind w:left="124"/>
              <w:rPr>
                <w:sz w:val="20"/>
              </w:rPr>
            </w:pPr>
            <w:r>
              <w:rPr>
                <w:sz w:val="20"/>
              </w:rPr>
              <w:t>XX</w:t>
            </w:r>
          </w:p>
        </w:tc>
        <w:tc>
          <w:tcPr>
            <w:tcW w:w="1475" w:type="dxa"/>
          </w:tcPr>
          <w:p>
            <w:pPr>
              <w:pStyle w:val="TableParagraph"/>
              <w:spacing w:before="27"/>
              <w:ind w:left="107"/>
              <w:rPr>
                <w:sz w:val="20"/>
              </w:rPr>
            </w:pPr>
            <w:r>
              <w:rPr>
                <w:sz w:val="20"/>
              </w:rPr>
              <w:t>A206/ T4</w:t>
            </w:r>
          </w:p>
        </w:tc>
        <w:tc>
          <w:tcPr>
            <w:tcW w:w="809" w:type="dxa"/>
          </w:tcPr>
          <w:p>
            <w:pPr>
              <w:pStyle w:val="TableParagraph"/>
              <w:spacing w:before="27"/>
              <w:ind w:left="200"/>
              <w:rPr>
                <w:sz w:val="20"/>
              </w:rPr>
            </w:pPr>
            <w:r>
              <w:rPr>
                <w:sz w:val="20"/>
              </w:rPr>
              <w:t>1.76</w:t>
            </w:r>
          </w:p>
        </w:tc>
        <w:tc>
          <w:tcPr>
            <w:tcW w:w="761" w:type="dxa"/>
          </w:tcPr>
          <w:p>
            <w:pPr>
              <w:pStyle w:val="TableParagraph"/>
              <w:spacing w:before="27"/>
              <w:ind w:left="109"/>
              <w:rPr>
                <w:sz w:val="20"/>
              </w:rPr>
            </w:pPr>
            <w:r>
              <w:rPr>
                <w:sz w:val="20"/>
              </w:rPr>
              <w:t>96.65</w:t>
            </w:r>
          </w:p>
        </w:tc>
        <w:tc>
          <w:tcPr>
            <w:tcW w:w="804" w:type="dxa"/>
          </w:tcPr>
          <w:p>
            <w:pPr>
              <w:pStyle w:val="TableParagraph"/>
              <w:spacing w:before="27"/>
              <w:ind w:left="152"/>
              <w:rPr>
                <w:sz w:val="20"/>
              </w:rPr>
            </w:pPr>
            <w:r>
              <w:rPr>
                <w:w w:val="99"/>
                <w:sz w:val="20"/>
              </w:rPr>
              <w:t>0</w:t>
            </w:r>
          </w:p>
        </w:tc>
        <w:tc>
          <w:tcPr>
            <w:tcW w:w="761" w:type="dxa"/>
          </w:tcPr>
          <w:p>
            <w:pPr>
              <w:pStyle w:val="TableParagraph"/>
              <w:spacing w:before="27"/>
              <w:ind w:left="152"/>
              <w:rPr>
                <w:sz w:val="20"/>
              </w:rPr>
            </w:pPr>
            <w:r>
              <w:rPr>
                <w:w w:val="99"/>
                <w:sz w:val="20"/>
              </w:rPr>
              <w:t>0</w:t>
            </w:r>
          </w:p>
        </w:tc>
        <w:tc>
          <w:tcPr>
            <w:tcW w:w="718" w:type="dxa"/>
          </w:tcPr>
          <w:p>
            <w:pPr>
              <w:pStyle w:val="TableParagraph"/>
              <w:spacing w:before="27"/>
              <w:ind w:left="109"/>
              <w:rPr>
                <w:sz w:val="20"/>
              </w:rPr>
            </w:pPr>
            <w:r>
              <w:rPr>
                <w:w w:val="99"/>
                <w:sz w:val="20"/>
              </w:rPr>
              <w:t>0</w:t>
            </w:r>
          </w:p>
        </w:tc>
        <w:tc>
          <w:tcPr>
            <w:tcW w:w="652" w:type="dxa"/>
          </w:tcPr>
          <w:p>
            <w:pPr>
              <w:pStyle w:val="TableParagraph"/>
              <w:spacing w:before="27"/>
              <w:ind w:left="108"/>
              <w:rPr>
                <w:sz w:val="20"/>
              </w:rPr>
            </w:pPr>
            <w:r>
              <w:rPr>
                <w:w w:val="99"/>
                <w:sz w:val="20"/>
              </w:rPr>
              <w:t>0</w:t>
            </w:r>
          </w:p>
        </w:tc>
        <w:tc>
          <w:tcPr>
            <w:tcW w:w="719" w:type="dxa"/>
          </w:tcPr>
          <w:p>
            <w:pPr>
              <w:pStyle w:val="TableParagraph"/>
              <w:spacing w:before="27"/>
              <w:ind w:left="155"/>
              <w:rPr>
                <w:sz w:val="20"/>
              </w:rPr>
            </w:pPr>
            <w:r>
              <w:rPr>
                <w:w w:val="99"/>
                <w:sz w:val="20"/>
              </w:rPr>
              <w:t>0</w:t>
            </w:r>
          </w:p>
        </w:tc>
        <w:tc>
          <w:tcPr>
            <w:tcW w:w="720" w:type="dxa"/>
          </w:tcPr>
          <w:p>
            <w:pPr>
              <w:pStyle w:val="TableParagraph"/>
              <w:spacing w:before="27"/>
              <w:ind w:left="173"/>
              <w:rPr>
                <w:sz w:val="20"/>
              </w:rPr>
            </w:pPr>
            <w:r>
              <w:rPr>
                <w:sz w:val="20"/>
              </w:rPr>
              <w:t>1.59</w:t>
            </w:r>
          </w:p>
        </w:tc>
        <w:tc>
          <w:tcPr>
            <w:tcW w:w="816" w:type="dxa"/>
          </w:tcPr>
          <w:p>
            <w:pPr>
              <w:pStyle w:val="TableParagraph"/>
              <w:spacing w:before="27"/>
              <w:ind w:left="154"/>
              <w:rPr>
                <w:sz w:val="20"/>
              </w:rPr>
            </w:pPr>
            <w:r>
              <w:rPr>
                <w:w w:val="99"/>
                <w:sz w:val="20"/>
              </w:rPr>
              <w:t>0</w:t>
            </w:r>
          </w:p>
        </w:tc>
      </w:tr>
      <w:tr>
        <w:trPr>
          <w:trHeight w:val="348" w:hRule="atLeast"/>
        </w:trPr>
        <w:tc>
          <w:tcPr>
            <w:tcW w:w="799" w:type="dxa"/>
            <w:tcBorders>
              <w:bottom w:val="single" w:sz="4" w:space="0" w:color="000000"/>
            </w:tcBorders>
          </w:tcPr>
          <w:p>
            <w:pPr>
              <w:pStyle w:val="TableParagraph"/>
              <w:spacing w:before="31"/>
              <w:ind w:left="124"/>
              <w:rPr>
                <w:sz w:val="20"/>
              </w:rPr>
            </w:pPr>
            <w:r>
              <w:rPr>
                <w:sz w:val="20"/>
              </w:rPr>
              <w:t>XXI</w:t>
            </w:r>
          </w:p>
        </w:tc>
        <w:tc>
          <w:tcPr>
            <w:tcW w:w="1475" w:type="dxa"/>
            <w:tcBorders>
              <w:bottom w:val="single" w:sz="4" w:space="0" w:color="000000"/>
            </w:tcBorders>
          </w:tcPr>
          <w:p>
            <w:pPr>
              <w:pStyle w:val="TableParagraph"/>
              <w:spacing w:before="31"/>
              <w:ind w:left="107"/>
              <w:rPr>
                <w:sz w:val="20"/>
              </w:rPr>
            </w:pPr>
            <w:r>
              <w:rPr>
                <w:sz w:val="20"/>
              </w:rPr>
              <w:t>A206/ T4</w:t>
            </w:r>
          </w:p>
        </w:tc>
        <w:tc>
          <w:tcPr>
            <w:tcW w:w="809" w:type="dxa"/>
            <w:tcBorders>
              <w:bottom w:val="single" w:sz="4" w:space="0" w:color="000000"/>
            </w:tcBorders>
          </w:tcPr>
          <w:p>
            <w:pPr>
              <w:pStyle w:val="TableParagraph"/>
              <w:spacing w:before="31"/>
              <w:ind w:left="200"/>
              <w:rPr>
                <w:sz w:val="20"/>
              </w:rPr>
            </w:pPr>
            <w:r>
              <w:rPr>
                <w:sz w:val="20"/>
              </w:rPr>
              <w:t>97.25</w:t>
            </w:r>
          </w:p>
        </w:tc>
        <w:tc>
          <w:tcPr>
            <w:tcW w:w="761" w:type="dxa"/>
            <w:tcBorders>
              <w:bottom w:val="single" w:sz="4" w:space="0" w:color="000000"/>
            </w:tcBorders>
          </w:tcPr>
          <w:p>
            <w:pPr>
              <w:pStyle w:val="TableParagraph"/>
              <w:spacing w:before="31"/>
              <w:ind w:left="109"/>
              <w:rPr>
                <w:sz w:val="20"/>
              </w:rPr>
            </w:pPr>
            <w:r>
              <w:rPr>
                <w:w w:val="99"/>
                <w:sz w:val="20"/>
              </w:rPr>
              <w:t>0</w:t>
            </w:r>
          </w:p>
        </w:tc>
        <w:tc>
          <w:tcPr>
            <w:tcW w:w="804" w:type="dxa"/>
            <w:tcBorders>
              <w:bottom w:val="single" w:sz="4" w:space="0" w:color="000000"/>
            </w:tcBorders>
          </w:tcPr>
          <w:p>
            <w:pPr>
              <w:pStyle w:val="TableParagraph"/>
              <w:spacing w:before="31"/>
              <w:ind w:left="152"/>
              <w:rPr>
                <w:sz w:val="20"/>
              </w:rPr>
            </w:pPr>
            <w:r>
              <w:rPr>
                <w:w w:val="99"/>
                <w:sz w:val="20"/>
              </w:rPr>
              <w:t>0</w:t>
            </w:r>
          </w:p>
        </w:tc>
        <w:tc>
          <w:tcPr>
            <w:tcW w:w="761" w:type="dxa"/>
            <w:tcBorders>
              <w:bottom w:val="single" w:sz="4" w:space="0" w:color="000000"/>
            </w:tcBorders>
          </w:tcPr>
          <w:p>
            <w:pPr>
              <w:pStyle w:val="TableParagraph"/>
              <w:spacing w:before="31"/>
              <w:ind w:left="152"/>
              <w:rPr>
                <w:sz w:val="20"/>
              </w:rPr>
            </w:pPr>
            <w:r>
              <w:rPr>
                <w:sz w:val="20"/>
              </w:rPr>
              <w:t>1.95</w:t>
            </w:r>
          </w:p>
        </w:tc>
        <w:tc>
          <w:tcPr>
            <w:tcW w:w="718" w:type="dxa"/>
            <w:tcBorders>
              <w:bottom w:val="single" w:sz="4" w:space="0" w:color="000000"/>
            </w:tcBorders>
          </w:tcPr>
          <w:p>
            <w:pPr>
              <w:pStyle w:val="TableParagraph"/>
              <w:spacing w:before="31"/>
              <w:ind w:left="109"/>
              <w:rPr>
                <w:sz w:val="20"/>
              </w:rPr>
            </w:pPr>
            <w:r>
              <w:rPr>
                <w:sz w:val="20"/>
              </w:rPr>
              <w:t>0.81</w:t>
            </w:r>
          </w:p>
        </w:tc>
        <w:tc>
          <w:tcPr>
            <w:tcW w:w="652" w:type="dxa"/>
            <w:tcBorders>
              <w:bottom w:val="single" w:sz="4" w:space="0" w:color="000000"/>
            </w:tcBorders>
          </w:tcPr>
          <w:p>
            <w:pPr>
              <w:pStyle w:val="TableParagraph"/>
              <w:spacing w:before="31"/>
              <w:ind w:left="108"/>
              <w:rPr>
                <w:sz w:val="20"/>
              </w:rPr>
            </w:pPr>
            <w:r>
              <w:rPr>
                <w:w w:val="99"/>
                <w:sz w:val="20"/>
              </w:rPr>
              <w:t>0</w:t>
            </w:r>
          </w:p>
        </w:tc>
        <w:tc>
          <w:tcPr>
            <w:tcW w:w="719" w:type="dxa"/>
            <w:tcBorders>
              <w:bottom w:val="single" w:sz="4" w:space="0" w:color="000000"/>
            </w:tcBorders>
          </w:tcPr>
          <w:p>
            <w:pPr>
              <w:pStyle w:val="TableParagraph"/>
              <w:spacing w:before="31"/>
              <w:ind w:left="155"/>
              <w:rPr>
                <w:sz w:val="20"/>
              </w:rPr>
            </w:pPr>
            <w:r>
              <w:rPr>
                <w:w w:val="99"/>
                <w:sz w:val="20"/>
              </w:rPr>
              <w:t>0</w:t>
            </w:r>
          </w:p>
        </w:tc>
        <w:tc>
          <w:tcPr>
            <w:tcW w:w="720" w:type="dxa"/>
            <w:tcBorders>
              <w:bottom w:val="single" w:sz="4" w:space="0" w:color="000000"/>
            </w:tcBorders>
          </w:tcPr>
          <w:p>
            <w:pPr>
              <w:pStyle w:val="TableParagraph"/>
              <w:spacing w:before="31"/>
              <w:ind w:left="173"/>
              <w:rPr>
                <w:sz w:val="20"/>
              </w:rPr>
            </w:pPr>
            <w:r>
              <w:rPr>
                <w:w w:val="99"/>
                <w:sz w:val="20"/>
              </w:rPr>
              <w:t>0</w:t>
            </w:r>
          </w:p>
        </w:tc>
        <w:tc>
          <w:tcPr>
            <w:tcW w:w="816" w:type="dxa"/>
            <w:tcBorders>
              <w:bottom w:val="single" w:sz="4" w:space="0" w:color="000000"/>
            </w:tcBorders>
          </w:tcPr>
          <w:p>
            <w:pPr>
              <w:pStyle w:val="TableParagraph"/>
              <w:spacing w:before="31"/>
              <w:ind w:left="154"/>
              <w:rPr>
                <w:sz w:val="20"/>
              </w:rPr>
            </w:pPr>
            <w:r>
              <w:rPr>
                <w:w w:val="99"/>
                <w:sz w:val="20"/>
              </w:rPr>
              <w:t>0</w:t>
            </w:r>
          </w:p>
        </w:tc>
      </w:tr>
      <w:tr>
        <w:trPr>
          <w:trHeight w:val="255" w:hRule="atLeast"/>
        </w:trPr>
        <w:tc>
          <w:tcPr>
            <w:tcW w:w="799" w:type="dxa"/>
            <w:tcBorders>
              <w:top w:val="single" w:sz="4" w:space="0" w:color="000000"/>
            </w:tcBorders>
          </w:tcPr>
          <w:p>
            <w:pPr>
              <w:pStyle w:val="TableParagraph"/>
              <w:spacing w:line="222" w:lineRule="exact"/>
              <w:ind w:left="124"/>
              <w:rPr>
                <w:sz w:val="20"/>
              </w:rPr>
            </w:pPr>
            <w:r>
              <w:rPr>
                <w:sz w:val="20"/>
              </w:rPr>
              <w:t>XXII</w:t>
            </w:r>
          </w:p>
        </w:tc>
        <w:tc>
          <w:tcPr>
            <w:tcW w:w="1475" w:type="dxa"/>
            <w:tcBorders>
              <w:top w:val="single" w:sz="4" w:space="0" w:color="000000"/>
            </w:tcBorders>
          </w:tcPr>
          <w:p>
            <w:pPr>
              <w:pStyle w:val="TableParagraph"/>
              <w:spacing w:line="222" w:lineRule="exact"/>
              <w:ind w:left="107"/>
              <w:rPr>
                <w:sz w:val="20"/>
              </w:rPr>
            </w:pPr>
            <w:r>
              <w:rPr>
                <w:sz w:val="20"/>
              </w:rPr>
              <w:t>A206/ T7</w:t>
            </w:r>
          </w:p>
        </w:tc>
        <w:tc>
          <w:tcPr>
            <w:tcW w:w="809" w:type="dxa"/>
            <w:tcBorders>
              <w:top w:val="single" w:sz="4" w:space="0" w:color="000000"/>
            </w:tcBorders>
          </w:tcPr>
          <w:p>
            <w:pPr>
              <w:pStyle w:val="TableParagraph"/>
              <w:spacing w:line="222" w:lineRule="exact"/>
              <w:ind w:left="200"/>
              <w:rPr>
                <w:sz w:val="20"/>
              </w:rPr>
            </w:pPr>
            <w:r>
              <w:rPr>
                <w:sz w:val="20"/>
              </w:rPr>
              <w:t>76.83</w:t>
            </w:r>
          </w:p>
        </w:tc>
        <w:tc>
          <w:tcPr>
            <w:tcW w:w="761" w:type="dxa"/>
            <w:tcBorders>
              <w:top w:val="single" w:sz="4" w:space="0" w:color="000000"/>
            </w:tcBorders>
          </w:tcPr>
          <w:p>
            <w:pPr>
              <w:pStyle w:val="TableParagraph"/>
              <w:spacing w:line="222" w:lineRule="exact"/>
              <w:ind w:left="109"/>
              <w:rPr>
                <w:sz w:val="20"/>
              </w:rPr>
            </w:pPr>
            <w:r>
              <w:rPr>
                <w:sz w:val="20"/>
              </w:rPr>
              <w:t>0.20</w:t>
            </w:r>
          </w:p>
        </w:tc>
        <w:tc>
          <w:tcPr>
            <w:tcW w:w="804" w:type="dxa"/>
            <w:tcBorders>
              <w:top w:val="single" w:sz="4" w:space="0" w:color="000000"/>
            </w:tcBorders>
          </w:tcPr>
          <w:p>
            <w:pPr>
              <w:pStyle w:val="TableParagraph"/>
              <w:spacing w:line="222" w:lineRule="exact"/>
              <w:ind w:left="152"/>
              <w:rPr>
                <w:sz w:val="20"/>
              </w:rPr>
            </w:pPr>
            <w:r>
              <w:rPr>
                <w:sz w:val="20"/>
              </w:rPr>
              <w:t>19.03</w:t>
            </w:r>
          </w:p>
        </w:tc>
        <w:tc>
          <w:tcPr>
            <w:tcW w:w="761" w:type="dxa"/>
            <w:tcBorders>
              <w:top w:val="single" w:sz="4" w:space="0" w:color="000000"/>
            </w:tcBorders>
          </w:tcPr>
          <w:p>
            <w:pPr>
              <w:pStyle w:val="TableParagraph"/>
              <w:spacing w:line="222" w:lineRule="exact"/>
              <w:ind w:left="152"/>
              <w:rPr>
                <w:sz w:val="20"/>
              </w:rPr>
            </w:pPr>
            <w:r>
              <w:rPr>
                <w:sz w:val="20"/>
              </w:rPr>
              <w:t>1.32</w:t>
            </w:r>
          </w:p>
        </w:tc>
        <w:tc>
          <w:tcPr>
            <w:tcW w:w="718" w:type="dxa"/>
            <w:tcBorders>
              <w:top w:val="single" w:sz="4" w:space="0" w:color="000000"/>
            </w:tcBorders>
          </w:tcPr>
          <w:p>
            <w:pPr>
              <w:pStyle w:val="TableParagraph"/>
              <w:spacing w:line="222" w:lineRule="exact"/>
              <w:ind w:left="109"/>
              <w:rPr>
                <w:sz w:val="20"/>
              </w:rPr>
            </w:pPr>
            <w:r>
              <w:rPr>
                <w:sz w:val="20"/>
              </w:rPr>
              <w:t>0.97</w:t>
            </w:r>
          </w:p>
        </w:tc>
        <w:tc>
          <w:tcPr>
            <w:tcW w:w="652" w:type="dxa"/>
            <w:tcBorders>
              <w:top w:val="single" w:sz="4" w:space="0" w:color="000000"/>
            </w:tcBorders>
          </w:tcPr>
          <w:p>
            <w:pPr>
              <w:pStyle w:val="TableParagraph"/>
              <w:spacing w:line="222" w:lineRule="exact"/>
              <w:ind w:left="108"/>
              <w:rPr>
                <w:sz w:val="20"/>
              </w:rPr>
            </w:pPr>
            <w:r>
              <w:rPr>
                <w:w w:val="99"/>
                <w:sz w:val="20"/>
              </w:rPr>
              <w:t>0</w:t>
            </w:r>
          </w:p>
        </w:tc>
        <w:tc>
          <w:tcPr>
            <w:tcW w:w="719" w:type="dxa"/>
            <w:tcBorders>
              <w:top w:val="single" w:sz="4" w:space="0" w:color="000000"/>
            </w:tcBorders>
          </w:tcPr>
          <w:p>
            <w:pPr>
              <w:pStyle w:val="TableParagraph"/>
              <w:spacing w:line="222" w:lineRule="exact"/>
              <w:ind w:left="155"/>
              <w:rPr>
                <w:sz w:val="20"/>
              </w:rPr>
            </w:pPr>
            <w:r>
              <w:rPr>
                <w:sz w:val="20"/>
              </w:rPr>
              <w:t>1.66</w:t>
            </w:r>
          </w:p>
        </w:tc>
        <w:tc>
          <w:tcPr>
            <w:tcW w:w="720" w:type="dxa"/>
            <w:tcBorders>
              <w:top w:val="single" w:sz="4" w:space="0" w:color="000000"/>
            </w:tcBorders>
          </w:tcPr>
          <w:p>
            <w:pPr>
              <w:pStyle w:val="TableParagraph"/>
              <w:spacing w:line="222" w:lineRule="exact"/>
              <w:ind w:left="173"/>
              <w:rPr>
                <w:sz w:val="20"/>
              </w:rPr>
            </w:pPr>
            <w:r>
              <w:rPr>
                <w:w w:val="99"/>
                <w:sz w:val="20"/>
              </w:rPr>
              <w:t>0</w:t>
            </w:r>
          </w:p>
        </w:tc>
        <w:tc>
          <w:tcPr>
            <w:tcW w:w="816" w:type="dxa"/>
            <w:tcBorders>
              <w:top w:val="single" w:sz="4" w:space="0" w:color="000000"/>
            </w:tcBorders>
          </w:tcPr>
          <w:p>
            <w:pPr>
              <w:pStyle w:val="TableParagraph"/>
              <w:spacing w:line="222" w:lineRule="exact"/>
              <w:ind w:left="154"/>
              <w:rPr>
                <w:sz w:val="20"/>
              </w:rPr>
            </w:pPr>
            <w:r>
              <w:rPr>
                <w:w w:val="99"/>
                <w:sz w:val="20"/>
              </w:rPr>
              <w:t>0</w:t>
            </w:r>
          </w:p>
        </w:tc>
      </w:tr>
      <w:tr>
        <w:trPr>
          <w:trHeight w:val="295" w:hRule="atLeast"/>
        </w:trPr>
        <w:tc>
          <w:tcPr>
            <w:tcW w:w="799" w:type="dxa"/>
          </w:tcPr>
          <w:p>
            <w:pPr>
              <w:pStyle w:val="TableParagraph"/>
              <w:spacing w:before="26"/>
              <w:ind w:left="124"/>
              <w:rPr>
                <w:sz w:val="20"/>
              </w:rPr>
            </w:pPr>
            <w:r>
              <w:rPr>
                <w:sz w:val="20"/>
              </w:rPr>
              <w:t>XXIII</w:t>
            </w:r>
          </w:p>
        </w:tc>
        <w:tc>
          <w:tcPr>
            <w:tcW w:w="1475" w:type="dxa"/>
          </w:tcPr>
          <w:p>
            <w:pPr>
              <w:pStyle w:val="TableParagraph"/>
              <w:spacing w:before="26"/>
              <w:ind w:left="107"/>
              <w:rPr>
                <w:sz w:val="20"/>
              </w:rPr>
            </w:pPr>
            <w:r>
              <w:rPr>
                <w:sz w:val="20"/>
              </w:rPr>
              <w:t>A206/ T7</w:t>
            </w:r>
          </w:p>
        </w:tc>
        <w:tc>
          <w:tcPr>
            <w:tcW w:w="809" w:type="dxa"/>
          </w:tcPr>
          <w:p>
            <w:pPr>
              <w:pStyle w:val="TableParagraph"/>
              <w:spacing w:before="26"/>
              <w:ind w:left="200"/>
              <w:rPr>
                <w:sz w:val="20"/>
              </w:rPr>
            </w:pPr>
            <w:r>
              <w:rPr>
                <w:sz w:val="20"/>
              </w:rPr>
              <w:t>97.84</w:t>
            </w:r>
          </w:p>
        </w:tc>
        <w:tc>
          <w:tcPr>
            <w:tcW w:w="761" w:type="dxa"/>
          </w:tcPr>
          <w:p>
            <w:pPr>
              <w:pStyle w:val="TableParagraph"/>
              <w:spacing w:before="26"/>
              <w:ind w:left="109"/>
              <w:rPr>
                <w:sz w:val="20"/>
              </w:rPr>
            </w:pPr>
            <w:r>
              <w:rPr>
                <w:w w:val="99"/>
                <w:sz w:val="20"/>
              </w:rPr>
              <w:t>0</w:t>
            </w:r>
          </w:p>
        </w:tc>
        <w:tc>
          <w:tcPr>
            <w:tcW w:w="804" w:type="dxa"/>
          </w:tcPr>
          <w:p>
            <w:pPr>
              <w:pStyle w:val="TableParagraph"/>
              <w:spacing w:before="26"/>
              <w:ind w:left="152"/>
              <w:rPr>
                <w:sz w:val="20"/>
              </w:rPr>
            </w:pPr>
            <w:r>
              <w:rPr>
                <w:w w:val="99"/>
                <w:sz w:val="20"/>
              </w:rPr>
              <w:t>0</w:t>
            </w:r>
          </w:p>
        </w:tc>
        <w:tc>
          <w:tcPr>
            <w:tcW w:w="761" w:type="dxa"/>
          </w:tcPr>
          <w:p>
            <w:pPr>
              <w:pStyle w:val="TableParagraph"/>
              <w:spacing w:before="26"/>
              <w:ind w:left="152"/>
              <w:rPr>
                <w:sz w:val="20"/>
              </w:rPr>
            </w:pPr>
            <w:r>
              <w:rPr>
                <w:sz w:val="20"/>
              </w:rPr>
              <w:t>1.82</w:t>
            </w:r>
          </w:p>
        </w:tc>
        <w:tc>
          <w:tcPr>
            <w:tcW w:w="718" w:type="dxa"/>
          </w:tcPr>
          <w:p>
            <w:pPr>
              <w:pStyle w:val="TableParagraph"/>
              <w:spacing w:before="26"/>
              <w:ind w:left="109"/>
              <w:rPr>
                <w:sz w:val="20"/>
              </w:rPr>
            </w:pPr>
            <w:r>
              <w:rPr>
                <w:sz w:val="20"/>
              </w:rPr>
              <w:t>0.34</w:t>
            </w:r>
          </w:p>
        </w:tc>
        <w:tc>
          <w:tcPr>
            <w:tcW w:w="652" w:type="dxa"/>
          </w:tcPr>
          <w:p>
            <w:pPr>
              <w:pStyle w:val="TableParagraph"/>
              <w:spacing w:before="26"/>
              <w:ind w:left="108"/>
              <w:rPr>
                <w:sz w:val="20"/>
              </w:rPr>
            </w:pPr>
            <w:r>
              <w:rPr>
                <w:w w:val="99"/>
                <w:sz w:val="20"/>
              </w:rPr>
              <w:t>0</w:t>
            </w:r>
          </w:p>
        </w:tc>
        <w:tc>
          <w:tcPr>
            <w:tcW w:w="719" w:type="dxa"/>
          </w:tcPr>
          <w:p>
            <w:pPr>
              <w:pStyle w:val="TableParagraph"/>
              <w:spacing w:before="26"/>
              <w:ind w:left="155"/>
              <w:rPr>
                <w:sz w:val="20"/>
              </w:rPr>
            </w:pPr>
            <w:r>
              <w:rPr>
                <w:w w:val="99"/>
                <w:sz w:val="20"/>
              </w:rPr>
              <w:t>0</w:t>
            </w:r>
          </w:p>
        </w:tc>
        <w:tc>
          <w:tcPr>
            <w:tcW w:w="720" w:type="dxa"/>
          </w:tcPr>
          <w:p>
            <w:pPr>
              <w:pStyle w:val="TableParagraph"/>
              <w:spacing w:before="26"/>
              <w:ind w:left="173"/>
              <w:rPr>
                <w:sz w:val="20"/>
              </w:rPr>
            </w:pPr>
            <w:r>
              <w:rPr>
                <w:w w:val="99"/>
                <w:sz w:val="20"/>
              </w:rPr>
              <w:t>0</w:t>
            </w:r>
          </w:p>
        </w:tc>
        <w:tc>
          <w:tcPr>
            <w:tcW w:w="816" w:type="dxa"/>
          </w:tcPr>
          <w:p>
            <w:pPr>
              <w:pStyle w:val="TableParagraph"/>
              <w:spacing w:before="26"/>
              <w:ind w:left="154"/>
              <w:rPr>
                <w:sz w:val="20"/>
              </w:rPr>
            </w:pPr>
            <w:r>
              <w:rPr>
                <w:w w:val="99"/>
                <w:sz w:val="20"/>
              </w:rPr>
              <w:t>0</w:t>
            </w:r>
          </w:p>
        </w:tc>
      </w:tr>
      <w:tr>
        <w:trPr>
          <w:trHeight w:val="348" w:hRule="atLeast"/>
        </w:trPr>
        <w:tc>
          <w:tcPr>
            <w:tcW w:w="799" w:type="dxa"/>
            <w:tcBorders>
              <w:bottom w:val="single" w:sz="4" w:space="0" w:color="000000"/>
            </w:tcBorders>
          </w:tcPr>
          <w:p>
            <w:pPr>
              <w:pStyle w:val="TableParagraph"/>
              <w:spacing w:before="31"/>
              <w:ind w:left="124"/>
              <w:rPr>
                <w:sz w:val="20"/>
              </w:rPr>
            </w:pPr>
            <w:r>
              <w:rPr>
                <w:sz w:val="20"/>
              </w:rPr>
              <w:t>XXIV</w:t>
            </w:r>
          </w:p>
        </w:tc>
        <w:tc>
          <w:tcPr>
            <w:tcW w:w="1475" w:type="dxa"/>
            <w:tcBorders>
              <w:bottom w:val="single" w:sz="4" w:space="0" w:color="000000"/>
            </w:tcBorders>
          </w:tcPr>
          <w:p>
            <w:pPr>
              <w:pStyle w:val="TableParagraph"/>
              <w:spacing w:before="31"/>
              <w:ind w:left="107"/>
              <w:rPr>
                <w:sz w:val="20"/>
              </w:rPr>
            </w:pPr>
            <w:r>
              <w:rPr>
                <w:sz w:val="20"/>
              </w:rPr>
              <w:t>A206/ T7</w:t>
            </w:r>
          </w:p>
        </w:tc>
        <w:tc>
          <w:tcPr>
            <w:tcW w:w="809" w:type="dxa"/>
            <w:tcBorders>
              <w:bottom w:val="single" w:sz="4" w:space="0" w:color="000000"/>
            </w:tcBorders>
          </w:tcPr>
          <w:p>
            <w:pPr>
              <w:pStyle w:val="TableParagraph"/>
              <w:spacing w:before="31"/>
              <w:ind w:left="200"/>
              <w:rPr>
                <w:sz w:val="20"/>
              </w:rPr>
            </w:pPr>
            <w:r>
              <w:rPr>
                <w:sz w:val="20"/>
              </w:rPr>
              <w:t>0.71</w:t>
            </w:r>
          </w:p>
        </w:tc>
        <w:tc>
          <w:tcPr>
            <w:tcW w:w="761" w:type="dxa"/>
            <w:tcBorders>
              <w:bottom w:val="single" w:sz="4" w:space="0" w:color="000000"/>
            </w:tcBorders>
          </w:tcPr>
          <w:p>
            <w:pPr>
              <w:pStyle w:val="TableParagraph"/>
              <w:spacing w:before="31"/>
              <w:ind w:left="109"/>
              <w:rPr>
                <w:sz w:val="20"/>
              </w:rPr>
            </w:pPr>
            <w:r>
              <w:rPr>
                <w:sz w:val="20"/>
              </w:rPr>
              <w:t>96.91</w:t>
            </w:r>
          </w:p>
        </w:tc>
        <w:tc>
          <w:tcPr>
            <w:tcW w:w="804" w:type="dxa"/>
            <w:tcBorders>
              <w:bottom w:val="single" w:sz="4" w:space="0" w:color="000000"/>
            </w:tcBorders>
          </w:tcPr>
          <w:p>
            <w:pPr>
              <w:pStyle w:val="TableParagraph"/>
              <w:spacing w:before="31"/>
              <w:ind w:left="152"/>
              <w:rPr>
                <w:sz w:val="20"/>
              </w:rPr>
            </w:pPr>
            <w:r>
              <w:rPr>
                <w:w w:val="99"/>
                <w:sz w:val="20"/>
              </w:rPr>
              <w:t>0</w:t>
            </w:r>
          </w:p>
        </w:tc>
        <w:tc>
          <w:tcPr>
            <w:tcW w:w="761" w:type="dxa"/>
            <w:tcBorders>
              <w:bottom w:val="single" w:sz="4" w:space="0" w:color="000000"/>
            </w:tcBorders>
          </w:tcPr>
          <w:p>
            <w:pPr>
              <w:pStyle w:val="TableParagraph"/>
              <w:spacing w:before="31"/>
              <w:ind w:left="152"/>
              <w:rPr>
                <w:sz w:val="20"/>
              </w:rPr>
            </w:pPr>
            <w:r>
              <w:rPr>
                <w:w w:val="99"/>
                <w:sz w:val="20"/>
              </w:rPr>
              <w:t>0</w:t>
            </w:r>
          </w:p>
        </w:tc>
        <w:tc>
          <w:tcPr>
            <w:tcW w:w="718" w:type="dxa"/>
            <w:tcBorders>
              <w:bottom w:val="single" w:sz="4" w:space="0" w:color="000000"/>
            </w:tcBorders>
          </w:tcPr>
          <w:p>
            <w:pPr>
              <w:pStyle w:val="TableParagraph"/>
              <w:spacing w:before="31"/>
              <w:ind w:left="109"/>
              <w:rPr>
                <w:sz w:val="20"/>
              </w:rPr>
            </w:pPr>
            <w:r>
              <w:rPr>
                <w:w w:val="99"/>
                <w:sz w:val="20"/>
              </w:rPr>
              <w:t>0</w:t>
            </w:r>
          </w:p>
        </w:tc>
        <w:tc>
          <w:tcPr>
            <w:tcW w:w="652" w:type="dxa"/>
            <w:tcBorders>
              <w:bottom w:val="single" w:sz="4" w:space="0" w:color="000000"/>
            </w:tcBorders>
          </w:tcPr>
          <w:p>
            <w:pPr>
              <w:pStyle w:val="TableParagraph"/>
              <w:spacing w:before="31"/>
              <w:ind w:left="108"/>
              <w:rPr>
                <w:sz w:val="20"/>
              </w:rPr>
            </w:pPr>
            <w:r>
              <w:rPr>
                <w:w w:val="99"/>
                <w:sz w:val="20"/>
              </w:rPr>
              <w:t>0</w:t>
            </w:r>
          </w:p>
        </w:tc>
        <w:tc>
          <w:tcPr>
            <w:tcW w:w="719" w:type="dxa"/>
            <w:tcBorders>
              <w:bottom w:val="single" w:sz="4" w:space="0" w:color="000000"/>
            </w:tcBorders>
          </w:tcPr>
          <w:p>
            <w:pPr>
              <w:pStyle w:val="TableParagraph"/>
              <w:spacing w:before="31"/>
              <w:ind w:left="155"/>
              <w:rPr>
                <w:sz w:val="20"/>
              </w:rPr>
            </w:pPr>
            <w:r>
              <w:rPr>
                <w:w w:val="99"/>
                <w:sz w:val="20"/>
              </w:rPr>
              <w:t>0</w:t>
            </w:r>
          </w:p>
        </w:tc>
        <w:tc>
          <w:tcPr>
            <w:tcW w:w="720" w:type="dxa"/>
            <w:tcBorders>
              <w:bottom w:val="single" w:sz="4" w:space="0" w:color="000000"/>
            </w:tcBorders>
          </w:tcPr>
          <w:p>
            <w:pPr>
              <w:pStyle w:val="TableParagraph"/>
              <w:spacing w:before="31"/>
              <w:ind w:left="173"/>
              <w:rPr>
                <w:sz w:val="20"/>
              </w:rPr>
            </w:pPr>
            <w:r>
              <w:rPr>
                <w:sz w:val="20"/>
              </w:rPr>
              <w:t>2.38</w:t>
            </w:r>
          </w:p>
        </w:tc>
        <w:tc>
          <w:tcPr>
            <w:tcW w:w="816" w:type="dxa"/>
            <w:tcBorders>
              <w:bottom w:val="single" w:sz="4" w:space="0" w:color="000000"/>
            </w:tcBorders>
          </w:tcPr>
          <w:p>
            <w:pPr>
              <w:pStyle w:val="TableParagraph"/>
              <w:spacing w:before="31"/>
              <w:ind w:left="154"/>
              <w:rPr>
                <w:sz w:val="20"/>
              </w:rPr>
            </w:pPr>
            <w:r>
              <w:rPr>
                <w:w w:val="99"/>
                <w:sz w:val="20"/>
              </w:rPr>
              <w:t>0</w:t>
            </w:r>
          </w:p>
        </w:tc>
      </w:tr>
      <w:tr>
        <w:trPr>
          <w:trHeight w:val="258" w:hRule="atLeast"/>
        </w:trPr>
        <w:tc>
          <w:tcPr>
            <w:tcW w:w="799" w:type="dxa"/>
            <w:tcBorders>
              <w:top w:val="single" w:sz="4" w:space="0" w:color="000000"/>
            </w:tcBorders>
          </w:tcPr>
          <w:p>
            <w:pPr>
              <w:pStyle w:val="TableParagraph"/>
              <w:spacing w:line="225" w:lineRule="exact"/>
              <w:ind w:left="124"/>
              <w:rPr>
                <w:sz w:val="20"/>
              </w:rPr>
            </w:pPr>
            <w:r>
              <w:rPr>
                <w:sz w:val="20"/>
              </w:rPr>
              <w:t>XXV</w:t>
            </w:r>
          </w:p>
        </w:tc>
        <w:tc>
          <w:tcPr>
            <w:tcW w:w="1475" w:type="dxa"/>
            <w:tcBorders>
              <w:top w:val="single" w:sz="4" w:space="0" w:color="000000"/>
            </w:tcBorders>
          </w:tcPr>
          <w:p>
            <w:pPr>
              <w:pStyle w:val="TableParagraph"/>
              <w:spacing w:line="225" w:lineRule="exact"/>
              <w:ind w:left="107"/>
              <w:rPr>
                <w:sz w:val="20"/>
              </w:rPr>
            </w:pPr>
            <w:r>
              <w:rPr>
                <w:sz w:val="20"/>
              </w:rPr>
              <w:t>AZ91/ colada</w:t>
            </w:r>
          </w:p>
        </w:tc>
        <w:tc>
          <w:tcPr>
            <w:tcW w:w="809" w:type="dxa"/>
            <w:tcBorders>
              <w:top w:val="single" w:sz="4" w:space="0" w:color="000000"/>
            </w:tcBorders>
          </w:tcPr>
          <w:p>
            <w:pPr>
              <w:pStyle w:val="TableParagraph"/>
              <w:spacing w:line="225" w:lineRule="exact"/>
              <w:ind w:left="200"/>
              <w:rPr>
                <w:sz w:val="20"/>
              </w:rPr>
            </w:pPr>
            <w:r>
              <w:rPr>
                <w:sz w:val="20"/>
              </w:rPr>
              <w:t>18.98</w:t>
            </w:r>
          </w:p>
        </w:tc>
        <w:tc>
          <w:tcPr>
            <w:tcW w:w="761" w:type="dxa"/>
            <w:tcBorders>
              <w:top w:val="single" w:sz="4" w:space="0" w:color="000000"/>
            </w:tcBorders>
          </w:tcPr>
          <w:p>
            <w:pPr>
              <w:pStyle w:val="TableParagraph"/>
              <w:spacing w:line="225" w:lineRule="exact"/>
              <w:ind w:left="109"/>
              <w:rPr>
                <w:sz w:val="20"/>
              </w:rPr>
            </w:pPr>
            <w:r>
              <w:rPr>
                <w:sz w:val="20"/>
              </w:rPr>
              <w:t>0.18</w:t>
            </w:r>
          </w:p>
        </w:tc>
        <w:tc>
          <w:tcPr>
            <w:tcW w:w="804" w:type="dxa"/>
            <w:tcBorders>
              <w:top w:val="single" w:sz="4" w:space="0" w:color="000000"/>
            </w:tcBorders>
          </w:tcPr>
          <w:p>
            <w:pPr>
              <w:pStyle w:val="TableParagraph"/>
              <w:spacing w:line="225" w:lineRule="exact"/>
              <w:ind w:left="152"/>
              <w:rPr>
                <w:sz w:val="20"/>
              </w:rPr>
            </w:pPr>
            <w:r>
              <w:rPr>
                <w:w w:val="99"/>
                <w:sz w:val="20"/>
              </w:rPr>
              <w:t>0</w:t>
            </w:r>
          </w:p>
        </w:tc>
        <w:tc>
          <w:tcPr>
            <w:tcW w:w="761" w:type="dxa"/>
            <w:tcBorders>
              <w:top w:val="single" w:sz="4" w:space="0" w:color="000000"/>
            </w:tcBorders>
          </w:tcPr>
          <w:p>
            <w:pPr>
              <w:pStyle w:val="TableParagraph"/>
              <w:spacing w:line="225" w:lineRule="exact"/>
              <w:ind w:left="152"/>
              <w:rPr>
                <w:sz w:val="20"/>
              </w:rPr>
            </w:pPr>
            <w:r>
              <w:rPr>
                <w:sz w:val="20"/>
              </w:rPr>
              <w:t>76.75</w:t>
            </w:r>
          </w:p>
        </w:tc>
        <w:tc>
          <w:tcPr>
            <w:tcW w:w="718" w:type="dxa"/>
            <w:tcBorders>
              <w:top w:val="single" w:sz="4" w:space="0" w:color="000000"/>
            </w:tcBorders>
          </w:tcPr>
          <w:p>
            <w:pPr>
              <w:pStyle w:val="TableParagraph"/>
              <w:spacing w:line="225" w:lineRule="exact"/>
              <w:ind w:left="109"/>
              <w:rPr>
                <w:sz w:val="20"/>
              </w:rPr>
            </w:pPr>
            <w:r>
              <w:rPr>
                <w:w w:val="99"/>
                <w:sz w:val="20"/>
              </w:rPr>
              <w:t>0</w:t>
            </w:r>
          </w:p>
        </w:tc>
        <w:tc>
          <w:tcPr>
            <w:tcW w:w="652" w:type="dxa"/>
            <w:tcBorders>
              <w:top w:val="single" w:sz="4" w:space="0" w:color="000000"/>
            </w:tcBorders>
          </w:tcPr>
          <w:p>
            <w:pPr>
              <w:pStyle w:val="TableParagraph"/>
              <w:spacing w:line="225" w:lineRule="exact"/>
              <w:ind w:left="108"/>
              <w:rPr>
                <w:sz w:val="20"/>
              </w:rPr>
            </w:pPr>
            <w:r>
              <w:rPr>
                <w:sz w:val="20"/>
              </w:rPr>
              <w:t>0.89</w:t>
            </w:r>
          </w:p>
        </w:tc>
        <w:tc>
          <w:tcPr>
            <w:tcW w:w="719" w:type="dxa"/>
            <w:tcBorders>
              <w:top w:val="single" w:sz="4" w:space="0" w:color="000000"/>
            </w:tcBorders>
          </w:tcPr>
          <w:p>
            <w:pPr>
              <w:pStyle w:val="TableParagraph"/>
              <w:spacing w:line="225" w:lineRule="exact"/>
              <w:ind w:left="155"/>
              <w:rPr>
                <w:sz w:val="20"/>
              </w:rPr>
            </w:pPr>
            <w:r>
              <w:rPr>
                <w:w w:val="99"/>
                <w:sz w:val="20"/>
              </w:rPr>
              <w:t>0</w:t>
            </w:r>
          </w:p>
        </w:tc>
        <w:tc>
          <w:tcPr>
            <w:tcW w:w="720" w:type="dxa"/>
            <w:tcBorders>
              <w:top w:val="single" w:sz="4" w:space="0" w:color="000000"/>
            </w:tcBorders>
          </w:tcPr>
          <w:p>
            <w:pPr>
              <w:pStyle w:val="TableParagraph"/>
              <w:spacing w:line="225" w:lineRule="exact"/>
              <w:ind w:left="173"/>
              <w:rPr>
                <w:sz w:val="20"/>
              </w:rPr>
            </w:pPr>
            <w:r>
              <w:rPr>
                <w:w w:val="99"/>
                <w:sz w:val="20"/>
              </w:rPr>
              <w:t>0</w:t>
            </w:r>
          </w:p>
        </w:tc>
        <w:tc>
          <w:tcPr>
            <w:tcW w:w="816" w:type="dxa"/>
            <w:tcBorders>
              <w:top w:val="single" w:sz="4" w:space="0" w:color="000000"/>
            </w:tcBorders>
          </w:tcPr>
          <w:p>
            <w:pPr>
              <w:pStyle w:val="TableParagraph"/>
              <w:spacing w:line="225" w:lineRule="exact"/>
              <w:ind w:left="154"/>
              <w:rPr>
                <w:sz w:val="20"/>
              </w:rPr>
            </w:pPr>
            <w:r>
              <w:rPr>
                <w:sz w:val="20"/>
              </w:rPr>
              <w:t>3.19</w:t>
            </w:r>
          </w:p>
        </w:tc>
      </w:tr>
      <w:tr>
        <w:trPr>
          <w:trHeight w:val="295" w:hRule="atLeast"/>
        </w:trPr>
        <w:tc>
          <w:tcPr>
            <w:tcW w:w="799" w:type="dxa"/>
          </w:tcPr>
          <w:p>
            <w:pPr>
              <w:pStyle w:val="TableParagraph"/>
              <w:spacing w:before="26"/>
              <w:ind w:left="124"/>
              <w:rPr>
                <w:sz w:val="20"/>
              </w:rPr>
            </w:pPr>
            <w:r>
              <w:rPr>
                <w:sz w:val="20"/>
              </w:rPr>
              <w:t>XXVI</w:t>
            </w:r>
          </w:p>
        </w:tc>
        <w:tc>
          <w:tcPr>
            <w:tcW w:w="1475" w:type="dxa"/>
          </w:tcPr>
          <w:p>
            <w:pPr>
              <w:pStyle w:val="TableParagraph"/>
              <w:spacing w:before="26"/>
              <w:ind w:left="107"/>
              <w:rPr>
                <w:sz w:val="20"/>
              </w:rPr>
            </w:pPr>
            <w:r>
              <w:rPr>
                <w:sz w:val="20"/>
              </w:rPr>
              <w:t>AZ91/ colada</w:t>
            </w:r>
          </w:p>
        </w:tc>
        <w:tc>
          <w:tcPr>
            <w:tcW w:w="809" w:type="dxa"/>
          </w:tcPr>
          <w:p>
            <w:pPr>
              <w:pStyle w:val="TableParagraph"/>
              <w:spacing w:before="26"/>
              <w:ind w:left="200"/>
              <w:rPr>
                <w:sz w:val="20"/>
              </w:rPr>
            </w:pPr>
            <w:r>
              <w:rPr>
                <w:sz w:val="20"/>
              </w:rPr>
              <w:t>21.87</w:t>
            </w:r>
          </w:p>
        </w:tc>
        <w:tc>
          <w:tcPr>
            <w:tcW w:w="761" w:type="dxa"/>
          </w:tcPr>
          <w:p>
            <w:pPr>
              <w:pStyle w:val="TableParagraph"/>
              <w:spacing w:before="26"/>
              <w:ind w:left="109"/>
              <w:rPr>
                <w:sz w:val="20"/>
              </w:rPr>
            </w:pPr>
            <w:r>
              <w:rPr>
                <w:sz w:val="20"/>
              </w:rPr>
              <w:t>0.47</w:t>
            </w:r>
          </w:p>
        </w:tc>
        <w:tc>
          <w:tcPr>
            <w:tcW w:w="804" w:type="dxa"/>
          </w:tcPr>
          <w:p>
            <w:pPr>
              <w:pStyle w:val="TableParagraph"/>
              <w:spacing w:before="26"/>
              <w:ind w:left="152"/>
              <w:rPr>
                <w:sz w:val="20"/>
              </w:rPr>
            </w:pPr>
            <w:r>
              <w:rPr>
                <w:w w:val="99"/>
                <w:sz w:val="20"/>
              </w:rPr>
              <w:t>0</w:t>
            </w:r>
          </w:p>
        </w:tc>
        <w:tc>
          <w:tcPr>
            <w:tcW w:w="761" w:type="dxa"/>
          </w:tcPr>
          <w:p>
            <w:pPr>
              <w:pStyle w:val="TableParagraph"/>
              <w:spacing w:before="26"/>
              <w:ind w:left="152"/>
              <w:rPr>
                <w:sz w:val="20"/>
              </w:rPr>
            </w:pPr>
            <w:r>
              <w:rPr>
                <w:sz w:val="20"/>
              </w:rPr>
              <w:t>74.82</w:t>
            </w:r>
          </w:p>
        </w:tc>
        <w:tc>
          <w:tcPr>
            <w:tcW w:w="718" w:type="dxa"/>
          </w:tcPr>
          <w:p>
            <w:pPr>
              <w:pStyle w:val="TableParagraph"/>
              <w:spacing w:before="26"/>
              <w:ind w:left="109"/>
              <w:rPr>
                <w:sz w:val="20"/>
              </w:rPr>
            </w:pPr>
            <w:r>
              <w:rPr>
                <w:w w:val="99"/>
                <w:sz w:val="20"/>
              </w:rPr>
              <w:t>0</w:t>
            </w:r>
          </w:p>
        </w:tc>
        <w:tc>
          <w:tcPr>
            <w:tcW w:w="652" w:type="dxa"/>
          </w:tcPr>
          <w:p>
            <w:pPr>
              <w:pStyle w:val="TableParagraph"/>
              <w:spacing w:before="26"/>
              <w:ind w:left="108"/>
              <w:rPr>
                <w:sz w:val="20"/>
              </w:rPr>
            </w:pPr>
            <w:r>
              <w:rPr>
                <w:sz w:val="20"/>
              </w:rPr>
              <w:t>1.06</w:t>
            </w:r>
          </w:p>
        </w:tc>
        <w:tc>
          <w:tcPr>
            <w:tcW w:w="719" w:type="dxa"/>
          </w:tcPr>
          <w:p>
            <w:pPr>
              <w:pStyle w:val="TableParagraph"/>
              <w:spacing w:before="26"/>
              <w:ind w:left="155"/>
              <w:rPr>
                <w:sz w:val="20"/>
              </w:rPr>
            </w:pPr>
            <w:r>
              <w:rPr>
                <w:w w:val="99"/>
                <w:sz w:val="20"/>
              </w:rPr>
              <w:t>0</w:t>
            </w:r>
          </w:p>
        </w:tc>
        <w:tc>
          <w:tcPr>
            <w:tcW w:w="720" w:type="dxa"/>
          </w:tcPr>
          <w:p>
            <w:pPr>
              <w:pStyle w:val="TableParagraph"/>
              <w:spacing w:before="26"/>
              <w:ind w:left="173"/>
              <w:rPr>
                <w:sz w:val="20"/>
              </w:rPr>
            </w:pPr>
            <w:r>
              <w:rPr>
                <w:w w:val="99"/>
                <w:sz w:val="20"/>
              </w:rPr>
              <w:t>0</w:t>
            </w:r>
          </w:p>
        </w:tc>
        <w:tc>
          <w:tcPr>
            <w:tcW w:w="816" w:type="dxa"/>
          </w:tcPr>
          <w:p>
            <w:pPr>
              <w:pStyle w:val="TableParagraph"/>
              <w:spacing w:before="26"/>
              <w:ind w:left="154"/>
              <w:rPr>
                <w:sz w:val="20"/>
              </w:rPr>
            </w:pPr>
            <w:r>
              <w:rPr>
                <w:sz w:val="20"/>
              </w:rPr>
              <w:t>1.77</w:t>
            </w:r>
          </w:p>
        </w:tc>
      </w:tr>
      <w:tr>
        <w:trPr>
          <w:trHeight w:val="300" w:hRule="atLeast"/>
        </w:trPr>
        <w:tc>
          <w:tcPr>
            <w:tcW w:w="799" w:type="dxa"/>
          </w:tcPr>
          <w:p>
            <w:pPr>
              <w:pStyle w:val="TableParagraph"/>
              <w:spacing w:before="31"/>
              <w:ind w:left="124"/>
              <w:rPr>
                <w:sz w:val="20"/>
              </w:rPr>
            </w:pPr>
            <w:r>
              <w:rPr>
                <w:sz w:val="20"/>
              </w:rPr>
              <w:t>XXVII</w:t>
            </w:r>
          </w:p>
        </w:tc>
        <w:tc>
          <w:tcPr>
            <w:tcW w:w="1475" w:type="dxa"/>
          </w:tcPr>
          <w:p>
            <w:pPr>
              <w:pStyle w:val="TableParagraph"/>
              <w:spacing w:before="31"/>
              <w:ind w:left="107"/>
              <w:rPr>
                <w:sz w:val="20"/>
              </w:rPr>
            </w:pPr>
            <w:r>
              <w:rPr>
                <w:sz w:val="20"/>
              </w:rPr>
              <w:t>AZ91/ colada</w:t>
            </w:r>
          </w:p>
        </w:tc>
        <w:tc>
          <w:tcPr>
            <w:tcW w:w="809" w:type="dxa"/>
          </w:tcPr>
          <w:p>
            <w:pPr>
              <w:pStyle w:val="TableParagraph"/>
              <w:spacing w:before="31"/>
              <w:ind w:left="200"/>
              <w:rPr>
                <w:sz w:val="20"/>
              </w:rPr>
            </w:pPr>
            <w:r>
              <w:rPr>
                <w:sz w:val="20"/>
              </w:rPr>
              <w:t>2.01</w:t>
            </w:r>
          </w:p>
        </w:tc>
        <w:tc>
          <w:tcPr>
            <w:tcW w:w="761" w:type="dxa"/>
          </w:tcPr>
          <w:p>
            <w:pPr>
              <w:pStyle w:val="TableParagraph"/>
              <w:spacing w:before="31"/>
              <w:ind w:left="109"/>
              <w:rPr>
                <w:sz w:val="20"/>
              </w:rPr>
            </w:pPr>
            <w:r>
              <w:rPr>
                <w:sz w:val="20"/>
              </w:rPr>
              <w:t>0.25</w:t>
            </w:r>
          </w:p>
        </w:tc>
        <w:tc>
          <w:tcPr>
            <w:tcW w:w="804" w:type="dxa"/>
          </w:tcPr>
          <w:p>
            <w:pPr>
              <w:pStyle w:val="TableParagraph"/>
              <w:spacing w:before="31"/>
              <w:ind w:left="152"/>
              <w:rPr>
                <w:sz w:val="20"/>
              </w:rPr>
            </w:pPr>
            <w:r>
              <w:rPr>
                <w:w w:val="99"/>
                <w:sz w:val="20"/>
              </w:rPr>
              <w:t>0</w:t>
            </w:r>
          </w:p>
        </w:tc>
        <w:tc>
          <w:tcPr>
            <w:tcW w:w="761" w:type="dxa"/>
          </w:tcPr>
          <w:p>
            <w:pPr>
              <w:pStyle w:val="TableParagraph"/>
              <w:spacing w:before="31"/>
              <w:ind w:left="152"/>
              <w:rPr>
                <w:sz w:val="20"/>
              </w:rPr>
            </w:pPr>
            <w:r>
              <w:rPr>
                <w:sz w:val="20"/>
              </w:rPr>
              <w:t>95.86</w:t>
            </w:r>
          </w:p>
        </w:tc>
        <w:tc>
          <w:tcPr>
            <w:tcW w:w="718" w:type="dxa"/>
          </w:tcPr>
          <w:p>
            <w:pPr>
              <w:pStyle w:val="TableParagraph"/>
              <w:spacing w:before="31"/>
              <w:ind w:left="109"/>
              <w:rPr>
                <w:sz w:val="20"/>
              </w:rPr>
            </w:pPr>
            <w:r>
              <w:rPr>
                <w:w w:val="99"/>
                <w:sz w:val="20"/>
              </w:rPr>
              <w:t>0</w:t>
            </w:r>
          </w:p>
        </w:tc>
        <w:tc>
          <w:tcPr>
            <w:tcW w:w="652" w:type="dxa"/>
          </w:tcPr>
          <w:p>
            <w:pPr>
              <w:pStyle w:val="TableParagraph"/>
              <w:spacing w:before="31"/>
              <w:ind w:left="108"/>
              <w:rPr>
                <w:sz w:val="20"/>
              </w:rPr>
            </w:pPr>
            <w:r>
              <w:rPr>
                <w:sz w:val="20"/>
              </w:rPr>
              <w:t>0.15</w:t>
            </w:r>
          </w:p>
        </w:tc>
        <w:tc>
          <w:tcPr>
            <w:tcW w:w="719" w:type="dxa"/>
          </w:tcPr>
          <w:p>
            <w:pPr>
              <w:pStyle w:val="TableParagraph"/>
              <w:spacing w:before="31"/>
              <w:ind w:left="155"/>
              <w:rPr>
                <w:sz w:val="20"/>
              </w:rPr>
            </w:pPr>
            <w:r>
              <w:rPr>
                <w:w w:val="99"/>
                <w:sz w:val="20"/>
              </w:rPr>
              <w:t>0</w:t>
            </w:r>
          </w:p>
        </w:tc>
        <w:tc>
          <w:tcPr>
            <w:tcW w:w="720" w:type="dxa"/>
          </w:tcPr>
          <w:p>
            <w:pPr>
              <w:pStyle w:val="TableParagraph"/>
              <w:spacing w:before="31"/>
              <w:ind w:left="173"/>
              <w:rPr>
                <w:sz w:val="20"/>
              </w:rPr>
            </w:pPr>
            <w:r>
              <w:rPr>
                <w:w w:val="99"/>
                <w:sz w:val="20"/>
              </w:rPr>
              <w:t>0</w:t>
            </w:r>
          </w:p>
        </w:tc>
        <w:tc>
          <w:tcPr>
            <w:tcW w:w="816" w:type="dxa"/>
          </w:tcPr>
          <w:p>
            <w:pPr>
              <w:pStyle w:val="TableParagraph"/>
              <w:spacing w:before="31"/>
              <w:ind w:left="154"/>
              <w:rPr>
                <w:sz w:val="20"/>
              </w:rPr>
            </w:pPr>
            <w:r>
              <w:rPr>
                <w:sz w:val="20"/>
              </w:rPr>
              <w:t>1.72</w:t>
            </w:r>
          </w:p>
        </w:tc>
      </w:tr>
      <w:tr>
        <w:trPr>
          <w:trHeight w:val="369" w:hRule="atLeast"/>
        </w:trPr>
        <w:tc>
          <w:tcPr>
            <w:tcW w:w="799" w:type="dxa"/>
            <w:tcBorders>
              <w:bottom w:val="single" w:sz="12" w:space="0" w:color="000000"/>
            </w:tcBorders>
          </w:tcPr>
          <w:p>
            <w:pPr>
              <w:pStyle w:val="TableParagraph"/>
              <w:spacing w:before="31"/>
              <w:ind w:left="124"/>
              <w:rPr>
                <w:sz w:val="20"/>
              </w:rPr>
            </w:pPr>
            <w:r>
              <w:rPr>
                <w:sz w:val="20"/>
              </w:rPr>
              <w:t>XXVIII</w:t>
            </w:r>
          </w:p>
        </w:tc>
        <w:tc>
          <w:tcPr>
            <w:tcW w:w="1475" w:type="dxa"/>
            <w:tcBorders>
              <w:bottom w:val="single" w:sz="12" w:space="0" w:color="000000"/>
            </w:tcBorders>
          </w:tcPr>
          <w:p>
            <w:pPr>
              <w:pStyle w:val="TableParagraph"/>
              <w:spacing w:before="31"/>
              <w:ind w:left="107"/>
              <w:rPr>
                <w:sz w:val="20"/>
              </w:rPr>
            </w:pPr>
            <w:r>
              <w:rPr>
                <w:sz w:val="20"/>
              </w:rPr>
              <w:t>AZ91/ colada</w:t>
            </w:r>
          </w:p>
        </w:tc>
        <w:tc>
          <w:tcPr>
            <w:tcW w:w="809" w:type="dxa"/>
            <w:tcBorders>
              <w:bottom w:val="single" w:sz="12" w:space="0" w:color="000000"/>
            </w:tcBorders>
          </w:tcPr>
          <w:p>
            <w:pPr>
              <w:pStyle w:val="TableParagraph"/>
              <w:spacing w:before="31"/>
              <w:ind w:left="200"/>
              <w:rPr>
                <w:sz w:val="20"/>
              </w:rPr>
            </w:pPr>
            <w:r>
              <w:rPr>
                <w:sz w:val="20"/>
              </w:rPr>
              <w:t>1.58</w:t>
            </w:r>
          </w:p>
        </w:tc>
        <w:tc>
          <w:tcPr>
            <w:tcW w:w="761" w:type="dxa"/>
            <w:tcBorders>
              <w:bottom w:val="single" w:sz="12" w:space="0" w:color="000000"/>
            </w:tcBorders>
          </w:tcPr>
          <w:p>
            <w:pPr>
              <w:pStyle w:val="TableParagraph"/>
              <w:spacing w:before="31"/>
              <w:ind w:left="109"/>
              <w:rPr>
                <w:sz w:val="20"/>
              </w:rPr>
            </w:pPr>
            <w:r>
              <w:rPr>
                <w:sz w:val="20"/>
              </w:rPr>
              <w:t>92.48</w:t>
            </w:r>
          </w:p>
        </w:tc>
        <w:tc>
          <w:tcPr>
            <w:tcW w:w="804" w:type="dxa"/>
            <w:tcBorders>
              <w:bottom w:val="single" w:sz="12" w:space="0" w:color="000000"/>
            </w:tcBorders>
          </w:tcPr>
          <w:p>
            <w:pPr>
              <w:pStyle w:val="TableParagraph"/>
              <w:spacing w:before="31"/>
              <w:ind w:left="152"/>
              <w:rPr>
                <w:sz w:val="20"/>
              </w:rPr>
            </w:pPr>
            <w:r>
              <w:rPr>
                <w:w w:val="99"/>
                <w:sz w:val="20"/>
              </w:rPr>
              <w:t>0</w:t>
            </w:r>
          </w:p>
        </w:tc>
        <w:tc>
          <w:tcPr>
            <w:tcW w:w="761" w:type="dxa"/>
            <w:tcBorders>
              <w:bottom w:val="single" w:sz="12" w:space="0" w:color="000000"/>
            </w:tcBorders>
          </w:tcPr>
          <w:p>
            <w:pPr>
              <w:pStyle w:val="TableParagraph"/>
              <w:spacing w:before="31"/>
              <w:ind w:left="152"/>
              <w:rPr>
                <w:sz w:val="20"/>
              </w:rPr>
            </w:pPr>
            <w:r>
              <w:rPr>
                <w:w w:val="99"/>
                <w:sz w:val="20"/>
              </w:rPr>
              <w:t>0</w:t>
            </w:r>
          </w:p>
        </w:tc>
        <w:tc>
          <w:tcPr>
            <w:tcW w:w="718" w:type="dxa"/>
            <w:tcBorders>
              <w:bottom w:val="single" w:sz="12" w:space="0" w:color="000000"/>
            </w:tcBorders>
          </w:tcPr>
          <w:p>
            <w:pPr>
              <w:pStyle w:val="TableParagraph"/>
              <w:spacing w:before="31"/>
              <w:ind w:left="109"/>
              <w:rPr>
                <w:sz w:val="20"/>
              </w:rPr>
            </w:pPr>
            <w:r>
              <w:rPr>
                <w:w w:val="99"/>
                <w:sz w:val="20"/>
              </w:rPr>
              <w:t>0</w:t>
            </w:r>
          </w:p>
        </w:tc>
        <w:tc>
          <w:tcPr>
            <w:tcW w:w="652" w:type="dxa"/>
            <w:tcBorders>
              <w:bottom w:val="single" w:sz="12" w:space="0" w:color="000000"/>
            </w:tcBorders>
          </w:tcPr>
          <w:p>
            <w:pPr>
              <w:pStyle w:val="TableParagraph"/>
              <w:spacing w:before="31"/>
              <w:ind w:left="108"/>
              <w:rPr>
                <w:sz w:val="20"/>
              </w:rPr>
            </w:pPr>
            <w:r>
              <w:rPr>
                <w:w w:val="99"/>
                <w:sz w:val="20"/>
              </w:rPr>
              <w:t>0</w:t>
            </w:r>
          </w:p>
        </w:tc>
        <w:tc>
          <w:tcPr>
            <w:tcW w:w="719" w:type="dxa"/>
            <w:tcBorders>
              <w:bottom w:val="single" w:sz="12" w:space="0" w:color="000000"/>
            </w:tcBorders>
          </w:tcPr>
          <w:p>
            <w:pPr>
              <w:pStyle w:val="TableParagraph"/>
              <w:spacing w:before="31"/>
              <w:ind w:left="155"/>
              <w:rPr>
                <w:sz w:val="20"/>
              </w:rPr>
            </w:pPr>
            <w:r>
              <w:rPr>
                <w:w w:val="99"/>
                <w:sz w:val="20"/>
              </w:rPr>
              <w:t>0</w:t>
            </w:r>
          </w:p>
        </w:tc>
        <w:tc>
          <w:tcPr>
            <w:tcW w:w="720" w:type="dxa"/>
            <w:tcBorders>
              <w:bottom w:val="single" w:sz="12" w:space="0" w:color="000000"/>
            </w:tcBorders>
          </w:tcPr>
          <w:p>
            <w:pPr>
              <w:pStyle w:val="TableParagraph"/>
              <w:spacing w:before="31"/>
              <w:ind w:left="173"/>
              <w:rPr>
                <w:sz w:val="20"/>
              </w:rPr>
            </w:pPr>
            <w:r>
              <w:rPr>
                <w:sz w:val="20"/>
              </w:rPr>
              <w:t>5.94</w:t>
            </w:r>
          </w:p>
        </w:tc>
        <w:tc>
          <w:tcPr>
            <w:tcW w:w="816" w:type="dxa"/>
            <w:tcBorders>
              <w:bottom w:val="single" w:sz="12" w:space="0" w:color="000000"/>
            </w:tcBorders>
          </w:tcPr>
          <w:p>
            <w:pPr>
              <w:pStyle w:val="TableParagraph"/>
              <w:spacing w:before="31"/>
              <w:ind w:left="154"/>
              <w:rPr>
                <w:sz w:val="20"/>
              </w:rPr>
            </w:pPr>
            <w:r>
              <w:rPr>
                <w:w w:val="99"/>
                <w:sz w:val="20"/>
              </w:rPr>
              <w:t>0</w:t>
            </w:r>
          </w:p>
        </w:tc>
      </w:tr>
    </w:tbl>
    <w:p>
      <w:pPr>
        <w:pStyle w:val="BodyText"/>
        <w:rPr>
          <w:b/>
          <w:sz w:val="20"/>
        </w:rPr>
      </w:pPr>
    </w:p>
    <w:p>
      <w:pPr>
        <w:pStyle w:val="BodyText"/>
        <w:rPr>
          <w:b/>
          <w:sz w:val="20"/>
        </w:rPr>
      </w:pPr>
    </w:p>
    <w:p>
      <w:pPr>
        <w:pStyle w:val="BodyText"/>
        <w:rPr>
          <w:b/>
          <w:sz w:val="20"/>
        </w:rPr>
      </w:pPr>
    </w:p>
    <w:p>
      <w:pPr>
        <w:pStyle w:val="BodyText"/>
        <w:spacing w:line="360" w:lineRule="auto" w:before="208"/>
        <w:ind w:left="674" w:right="673" w:firstLine="336"/>
        <w:jc w:val="both"/>
      </w:pPr>
      <w:r>
        <w:rPr/>
        <w:t>La Figura 6 muestra las micrografías obtenidas con el microscopio electrónico de barrido (SEM) para las aleaciones base de Al-A206 y Mg- AZ91, y</w:t>
      </w:r>
      <w:r>
        <w:rPr>
          <w:spacing w:val="-13"/>
        </w:rPr>
        <w:t> </w:t>
      </w:r>
      <w:r>
        <w:rPr/>
        <w:t>fueron</w:t>
      </w:r>
      <w:r>
        <w:rPr>
          <w:spacing w:val="-8"/>
        </w:rPr>
        <w:t> </w:t>
      </w:r>
      <w:r>
        <w:rPr/>
        <w:t>utilizadas</w:t>
      </w:r>
      <w:r>
        <w:rPr>
          <w:spacing w:val="-5"/>
        </w:rPr>
        <w:t> </w:t>
      </w:r>
      <w:r>
        <w:rPr/>
        <w:t>para</w:t>
      </w:r>
      <w:r>
        <w:rPr>
          <w:spacing w:val="-6"/>
        </w:rPr>
        <w:t> </w:t>
      </w:r>
      <w:r>
        <w:rPr/>
        <w:t>confirmar</w:t>
      </w:r>
      <w:r>
        <w:rPr>
          <w:spacing w:val="-6"/>
        </w:rPr>
        <w:t> </w:t>
      </w:r>
      <w:r>
        <w:rPr/>
        <w:t>la</w:t>
      </w:r>
      <w:r>
        <w:rPr>
          <w:spacing w:val="-7"/>
        </w:rPr>
        <w:t> </w:t>
      </w:r>
      <w:r>
        <w:rPr/>
        <w:t>presencia</w:t>
      </w:r>
      <w:r>
        <w:rPr>
          <w:spacing w:val="-6"/>
        </w:rPr>
        <w:t> </w:t>
      </w:r>
      <w:r>
        <w:rPr/>
        <w:t>de</w:t>
      </w:r>
      <w:r>
        <w:rPr>
          <w:spacing w:val="-1"/>
        </w:rPr>
        <w:t> </w:t>
      </w:r>
      <w:r>
        <w:rPr/>
        <w:t>las</w:t>
      </w:r>
      <w:r>
        <w:rPr>
          <w:spacing w:val="-10"/>
        </w:rPr>
        <w:t> </w:t>
      </w:r>
      <w:r>
        <w:rPr/>
        <w:t>fases</w:t>
      </w:r>
      <w:r>
        <w:rPr>
          <w:spacing w:val="-8"/>
        </w:rPr>
        <w:t> </w:t>
      </w:r>
      <w:r>
        <w:rPr/>
        <w:t>antes</w:t>
      </w:r>
      <w:r>
        <w:rPr>
          <w:spacing w:val="-6"/>
        </w:rPr>
        <w:t> </w:t>
      </w:r>
      <w:r>
        <w:rPr/>
        <w:t>mencionadas; la composición de estas fases fue determinada mediante espectroscopia de emisión difusa (EDS) y los resultados son presentados en la Tabla II. Tal como se muestra en las Figuras 5c, 5d, 7a y 7b, las fases interdendríticas presentes en</w:t>
      </w:r>
      <w:r>
        <w:rPr>
          <w:spacing w:val="-5"/>
        </w:rPr>
        <w:t> </w:t>
      </w:r>
      <w:r>
        <w:rPr/>
        <w:t>la</w:t>
      </w:r>
      <w:r>
        <w:rPr>
          <w:spacing w:val="-9"/>
        </w:rPr>
        <w:t> </w:t>
      </w:r>
      <w:r>
        <w:rPr/>
        <w:t>aleación</w:t>
      </w:r>
      <w:r>
        <w:rPr>
          <w:spacing w:val="-4"/>
        </w:rPr>
        <w:t> </w:t>
      </w:r>
      <w:r>
        <w:rPr/>
        <w:t>en</w:t>
      </w:r>
      <w:r>
        <w:rPr>
          <w:spacing w:val="-9"/>
        </w:rPr>
        <w:t> </w:t>
      </w:r>
      <w:r>
        <w:rPr/>
        <w:t>estado</w:t>
      </w:r>
      <w:r>
        <w:rPr>
          <w:spacing w:val="-7"/>
        </w:rPr>
        <w:t> </w:t>
      </w:r>
      <w:r>
        <w:rPr/>
        <w:t>de</w:t>
      </w:r>
      <w:r>
        <w:rPr>
          <w:spacing w:val="-5"/>
        </w:rPr>
        <w:t> </w:t>
      </w:r>
      <w:r>
        <w:rPr/>
        <w:t>colada</w:t>
      </w:r>
      <w:r>
        <w:rPr>
          <w:spacing w:val="-9"/>
        </w:rPr>
        <w:t> </w:t>
      </w:r>
      <w:r>
        <w:rPr/>
        <w:t>fueron</w:t>
      </w:r>
      <w:r>
        <w:rPr>
          <w:spacing w:val="-7"/>
        </w:rPr>
        <w:t> </w:t>
      </w:r>
      <w:r>
        <w:rPr/>
        <w:t>disueltas</w:t>
      </w:r>
      <w:r>
        <w:rPr>
          <w:spacing w:val="-8"/>
        </w:rPr>
        <w:t> </w:t>
      </w:r>
      <w:r>
        <w:rPr/>
        <w:t>sólo</w:t>
      </w:r>
      <w:r>
        <w:rPr>
          <w:spacing w:val="-8"/>
        </w:rPr>
        <w:t> </w:t>
      </w:r>
      <w:r>
        <w:rPr/>
        <w:t>parcialmente</w:t>
      </w:r>
      <w:r>
        <w:rPr>
          <w:spacing w:val="-6"/>
        </w:rPr>
        <w:t> </w:t>
      </w:r>
      <w:r>
        <w:rPr/>
        <w:t>mediante el tratamiento térmico de disolución empleado, lo cual puede deberse a la disolución de hierro del molde durante el</w:t>
      </w:r>
      <w:r>
        <w:rPr>
          <w:spacing w:val="-5"/>
        </w:rPr>
        <w:t> </w:t>
      </w:r>
      <w:r>
        <w:rPr/>
        <w:t>procesamiento.</w:t>
      </w:r>
    </w:p>
    <w:p>
      <w:pPr>
        <w:spacing w:after="0" w:line="360" w:lineRule="auto"/>
        <w:jc w:val="both"/>
        <w:sectPr>
          <w:pgSz w:w="12240" w:h="15840"/>
          <w:pgMar w:header="0" w:footer="1869" w:top="1500" w:bottom="2060" w:left="1520" w:right="940"/>
        </w:sectPr>
      </w:pPr>
    </w:p>
    <w:p>
      <w:pPr>
        <w:pStyle w:val="BodyText"/>
        <w:ind w:left="704"/>
        <w:rPr>
          <w:sz w:val="20"/>
        </w:rPr>
      </w:pPr>
      <w:r>
        <w:rPr>
          <w:sz w:val="20"/>
        </w:rPr>
        <w:drawing>
          <wp:inline distT="0" distB="0" distL="0" distR="0">
            <wp:extent cx="4949993" cy="3709035"/>
            <wp:effectExtent l="0" t="0" r="0" b="0"/>
            <wp:docPr id="11" name="image7.jpeg"/>
            <wp:cNvGraphicFramePr>
              <a:graphicFrameLocks noChangeAspect="1"/>
            </wp:cNvGraphicFramePr>
            <a:graphic>
              <a:graphicData uri="http://schemas.openxmlformats.org/drawingml/2006/picture">
                <pic:pic>
                  <pic:nvPicPr>
                    <pic:cNvPr id="12" name="image7.jpeg"/>
                    <pic:cNvPicPr/>
                  </pic:nvPicPr>
                  <pic:blipFill>
                    <a:blip r:embed="rId14" cstate="print"/>
                    <a:stretch>
                      <a:fillRect/>
                    </a:stretch>
                  </pic:blipFill>
                  <pic:spPr>
                    <a:xfrm>
                      <a:off x="0" y="0"/>
                      <a:ext cx="4949993" cy="370903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23"/>
        </w:rPr>
      </w:pPr>
    </w:p>
    <w:p>
      <w:pPr>
        <w:spacing w:line="256" w:lineRule="auto" w:before="94"/>
        <w:ind w:left="674" w:right="344" w:firstLine="0"/>
        <w:jc w:val="left"/>
        <w:rPr>
          <w:b/>
          <w:sz w:val="18"/>
        </w:rPr>
      </w:pPr>
      <w:r>
        <w:rPr>
          <w:b/>
          <w:sz w:val="18"/>
        </w:rPr>
        <w:t>FIG. 6. Micrografías SEM de Al-A206 sin refuerzo en: a) recién colada, b) condición T4, c) condición T7 y Mg-AZ91 en d) recién colada. EDS fue utilizada para identificar la composición de las fases marcadas (I-XII) y los resultados de los análisis son presentados en la Tabla II.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355" w:lineRule="auto" w:before="179"/>
        <w:ind w:left="674" w:right="369" w:firstLine="336"/>
        <w:jc w:val="both"/>
      </w:pPr>
      <w:r>
        <w:rPr/>
        <w:t>La Figura 7c muestra la microestructura de la aleación de magnesio Mg-</w:t>
      </w:r>
      <w:r>
        <w:rPr>
          <w:spacing w:val="-46"/>
        </w:rPr>
        <w:t> </w:t>
      </w:r>
      <w:r>
        <w:rPr/>
        <w:t>AZ91, colado bajo las mismas condiciones que las correspondientes a su espuma sintáctica.</w:t>
      </w:r>
    </w:p>
    <w:p>
      <w:pPr>
        <w:pStyle w:val="BodyText"/>
        <w:rPr>
          <w:sz w:val="26"/>
        </w:rPr>
      </w:pPr>
    </w:p>
    <w:p>
      <w:pPr>
        <w:pStyle w:val="BodyText"/>
        <w:spacing w:before="2"/>
        <w:rPr>
          <w:sz w:val="38"/>
        </w:rPr>
      </w:pPr>
    </w:p>
    <w:p>
      <w:pPr>
        <w:pStyle w:val="BodyText"/>
        <w:spacing w:line="355" w:lineRule="auto" w:before="1"/>
        <w:ind w:left="674" w:right="368" w:firstLine="336"/>
        <w:jc w:val="both"/>
      </w:pPr>
      <w:r>
        <w:rPr/>
        <w:t>Bajo</w:t>
      </w:r>
      <w:r>
        <w:rPr>
          <w:spacing w:val="-12"/>
        </w:rPr>
        <w:t> </w:t>
      </w:r>
      <w:r>
        <w:rPr/>
        <w:t>estas</w:t>
      </w:r>
      <w:r>
        <w:rPr>
          <w:spacing w:val="-12"/>
        </w:rPr>
        <w:t> </w:t>
      </w:r>
      <w:r>
        <w:rPr/>
        <w:t>condiciones</w:t>
      </w:r>
      <w:r>
        <w:rPr>
          <w:spacing w:val="-12"/>
        </w:rPr>
        <w:t> </w:t>
      </w:r>
      <w:r>
        <w:rPr/>
        <w:t>de</w:t>
      </w:r>
      <w:r>
        <w:rPr>
          <w:spacing w:val="-11"/>
        </w:rPr>
        <w:t> </w:t>
      </w:r>
      <w:r>
        <w:rPr/>
        <w:t>colada,</w:t>
      </w:r>
      <w:r>
        <w:rPr>
          <w:spacing w:val="-12"/>
        </w:rPr>
        <w:t> </w:t>
      </w:r>
      <w:r>
        <w:rPr/>
        <w:t>la</w:t>
      </w:r>
      <w:r>
        <w:rPr>
          <w:spacing w:val="-11"/>
        </w:rPr>
        <w:t> </w:t>
      </w:r>
      <w:r>
        <w:rPr/>
        <w:t>microestructura</w:t>
      </w:r>
      <w:r>
        <w:rPr>
          <w:spacing w:val="-12"/>
        </w:rPr>
        <w:t> </w:t>
      </w:r>
      <w:r>
        <w:rPr/>
        <w:t>es</w:t>
      </w:r>
      <w:r>
        <w:rPr>
          <w:spacing w:val="-12"/>
        </w:rPr>
        <w:t> </w:t>
      </w:r>
      <w:r>
        <w:rPr/>
        <w:t>claramente</w:t>
      </w:r>
      <w:r>
        <w:rPr>
          <w:spacing w:val="-11"/>
        </w:rPr>
        <w:t> </w:t>
      </w:r>
      <w:r>
        <w:rPr/>
        <w:t>dendrítica</w:t>
      </w:r>
      <w:r>
        <w:rPr>
          <w:spacing w:val="-11"/>
        </w:rPr>
        <w:t> </w:t>
      </w:r>
      <w:r>
        <w:rPr/>
        <w:t>y está compuesta de dendritas Mg-α rodeadas por compuestos intermetálicos </w:t>
      </w:r>
      <w:r>
        <w:rPr>
          <w:position w:val="2"/>
        </w:rPr>
        <w:t>gruesos y laminares (usualmente Mg</w:t>
      </w:r>
      <w:r>
        <w:rPr>
          <w:sz w:val="16"/>
        </w:rPr>
        <w:t>17</w:t>
      </w:r>
      <w:r>
        <w:rPr>
          <w:position w:val="2"/>
        </w:rPr>
        <w:t>Al</w:t>
      </w:r>
      <w:r>
        <w:rPr>
          <w:sz w:val="16"/>
        </w:rPr>
        <w:t>12</w:t>
      </w:r>
      <w:r>
        <w:rPr>
          <w:position w:val="2"/>
        </w:rPr>
        <w:t>, las composiciones medidas son </w:t>
      </w:r>
      <w:r>
        <w:rPr/>
        <w:t>mostradas en la Tabla II) [42, 43]. También </w:t>
      </w:r>
      <w:r>
        <w:rPr>
          <w:spacing w:val="-3"/>
        </w:rPr>
        <w:t>se </w:t>
      </w:r>
      <w:r>
        <w:rPr/>
        <w:t>observó porosidad</w:t>
      </w:r>
      <w:r>
        <w:rPr>
          <w:spacing w:val="-42"/>
        </w:rPr>
        <w:t> </w:t>
      </w:r>
      <w:r>
        <w:rPr/>
        <w:t>interdendrítica.</w:t>
      </w:r>
    </w:p>
    <w:p>
      <w:pPr>
        <w:spacing w:after="0" w:line="355" w:lineRule="auto"/>
        <w:jc w:val="both"/>
        <w:sectPr>
          <w:pgSz w:w="12240" w:h="15840"/>
          <w:pgMar w:header="0" w:footer="1869" w:top="1480" w:bottom="2060" w:left="1520" w:right="940"/>
        </w:sectPr>
      </w:pPr>
    </w:p>
    <w:p>
      <w:pPr>
        <w:pStyle w:val="BodyText"/>
        <w:spacing w:before="5"/>
        <w:rPr>
          <w:sz w:val="21"/>
        </w:rPr>
      </w:pPr>
    </w:p>
    <w:p>
      <w:pPr>
        <w:pStyle w:val="BodyText"/>
        <w:spacing w:line="360" w:lineRule="auto" w:before="93"/>
        <w:ind w:left="674" w:right="258" w:firstLine="336"/>
        <w:jc w:val="both"/>
      </w:pPr>
      <w:r>
        <w:rPr/>
        <w:t>La</w:t>
      </w:r>
      <w:r>
        <w:rPr>
          <w:spacing w:val="-13"/>
        </w:rPr>
        <w:t> </w:t>
      </w:r>
      <w:r>
        <w:rPr/>
        <w:t>Figura</w:t>
      </w:r>
      <w:r>
        <w:rPr>
          <w:spacing w:val="-12"/>
        </w:rPr>
        <w:t> </w:t>
      </w:r>
      <w:r>
        <w:rPr/>
        <w:t>8</w:t>
      </w:r>
      <w:r>
        <w:rPr>
          <w:spacing w:val="-15"/>
        </w:rPr>
        <w:t> </w:t>
      </w:r>
      <w:r>
        <w:rPr/>
        <w:t>muestra</w:t>
      </w:r>
      <w:r>
        <w:rPr>
          <w:spacing w:val="-12"/>
        </w:rPr>
        <w:t> </w:t>
      </w:r>
      <w:r>
        <w:rPr/>
        <w:t>las</w:t>
      </w:r>
      <w:r>
        <w:rPr>
          <w:spacing w:val="-14"/>
        </w:rPr>
        <w:t> </w:t>
      </w:r>
      <w:r>
        <w:rPr/>
        <w:t>micrografías</w:t>
      </w:r>
      <w:r>
        <w:rPr>
          <w:spacing w:val="-15"/>
        </w:rPr>
        <w:t> </w:t>
      </w:r>
      <w:r>
        <w:rPr/>
        <w:t>obtenidas</w:t>
      </w:r>
      <w:r>
        <w:rPr>
          <w:spacing w:val="-13"/>
        </w:rPr>
        <w:t> </w:t>
      </w:r>
      <w:r>
        <w:rPr/>
        <w:t>con</w:t>
      </w:r>
      <w:r>
        <w:rPr>
          <w:spacing w:val="-15"/>
        </w:rPr>
        <w:t> </w:t>
      </w:r>
      <w:r>
        <w:rPr/>
        <w:t>el</w:t>
      </w:r>
      <w:r>
        <w:rPr>
          <w:spacing w:val="-18"/>
        </w:rPr>
        <w:t> </w:t>
      </w:r>
      <w:r>
        <w:rPr/>
        <w:t>microscopio</w:t>
      </w:r>
      <w:r>
        <w:rPr>
          <w:spacing w:val="-14"/>
        </w:rPr>
        <w:t> </w:t>
      </w:r>
      <w:r>
        <w:rPr/>
        <w:t>electrónico</w:t>
      </w:r>
      <w:r>
        <w:rPr>
          <w:spacing w:val="-13"/>
        </w:rPr>
        <w:t> </w:t>
      </w:r>
      <w:r>
        <w:rPr/>
        <w:t>de barrido (SEM) de las espumas sintácticas sintetizadas en el presente estudio, las cuales fueron utilizadas para confirmar la presencia de las fases</w:t>
      </w:r>
      <w:r>
        <w:rPr>
          <w:spacing w:val="-38"/>
        </w:rPr>
        <w:t> </w:t>
      </w:r>
      <w:r>
        <w:rPr/>
        <w:t>encontradas.</w:t>
      </w:r>
    </w:p>
    <w:p>
      <w:pPr>
        <w:pStyle w:val="BodyText"/>
        <w:rPr>
          <w:sz w:val="26"/>
        </w:rPr>
      </w:pPr>
    </w:p>
    <w:p>
      <w:pPr>
        <w:pStyle w:val="BodyText"/>
        <w:spacing w:before="8"/>
        <w:rPr>
          <w:sz w:val="37"/>
        </w:rPr>
      </w:pPr>
    </w:p>
    <w:p>
      <w:pPr>
        <w:pStyle w:val="BodyText"/>
        <w:spacing w:line="360" w:lineRule="auto"/>
        <w:ind w:left="674" w:right="258" w:firstLine="324"/>
        <w:jc w:val="both"/>
      </w:pPr>
      <w:r>
        <w:rPr/>
        <w:t>La Tabla III presenta los resultados del análisis efectuado mediante espectroscopia de emisión difusa (EDS) sobre las diferentes fases marcadas en la Figura 8.</w:t>
      </w:r>
    </w:p>
    <w:p>
      <w:pPr>
        <w:pStyle w:val="BodyText"/>
        <w:rPr>
          <w:sz w:val="26"/>
        </w:rPr>
      </w:pPr>
    </w:p>
    <w:p>
      <w:pPr>
        <w:pStyle w:val="BodyText"/>
        <w:spacing w:before="10"/>
        <w:rPr>
          <w:sz w:val="37"/>
        </w:rPr>
      </w:pPr>
    </w:p>
    <w:p>
      <w:pPr>
        <w:pStyle w:val="BodyText"/>
        <w:spacing w:line="360" w:lineRule="auto"/>
        <w:ind w:left="674" w:right="256" w:firstLine="336"/>
        <w:jc w:val="both"/>
      </w:pPr>
      <w:r>
        <w:rPr/>
        <w:t>Las esferas huecas parecen estar distribuidas uniformemente, y totalmente encapsuladas en la matriz metálica con poca o ninguna porosidad visible en la interfaz entre la matriz y las esferas huecas.</w:t>
      </w:r>
    </w:p>
    <w:p>
      <w:pPr>
        <w:pStyle w:val="BodyText"/>
        <w:rPr>
          <w:sz w:val="26"/>
        </w:rPr>
      </w:pPr>
    </w:p>
    <w:p>
      <w:pPr>
        <w:pStyle w:val="BodyText"/>
        <w:spacing w:before="9"/>
        <w:rPr>
          <w:sz w:val="37"/>
        </w:rPr>
      </w:pPr>
    </w:p>
    <w:p>
      <w:pPr>
        <w:pStyle w:val="BodyText"/>
        <w:spacing w:line="360" w:lineRule="auto"/>
        <w:ind w:left="674" w:right="263" w:firstLine="336"/>
        <w:jc w:val="both"/>
      </w:pPr>
      <w:r>
        <w:rPr/>
        <w:t>Las muestras de espumas sintácticas Al-A206/SiC en estado de colada presentan una red de compuestos intermetálicos en toda la matriz, similar a la encontrada en la aleación de base sin esferas de refuerzo.</w:t>
      </w:r>
    </w:p>
    <w:p>
      <w:pPr>
        <w:spacing w:after="0" w:line="360" w:lineRule="auto"/>
        <w:jc w:val="both"/>
        <w:sectPr>
          <w:pgSz w:w="12240" w:h="15840"/>
          <w:pgMar w:header="0" w:footer="1869" w:top="1500" w:bottom="2060" w:left="1520" w:right="940"/>
        </w:sectPr>
      </w:pPr>
    </w:p>
    <w:p>
      <w:pPr>
        <w:pStyle w:val="BodyText"/>
        <w:ind w:left="983"/>
        <w:rPr>
          <w:sz w:val="20"/>
        </w:rPr>
      </w:pPr>
      <w:r>
        <w:rPr>
          <w:sz w:val="20"/>
        </w:rPr>
        <w:drawing>
          <wp:inline distT="0" distB="0" distL="0" distR="0">
            <wp:extent cx="4843782" cy="3634740"/>
            <wp:effectExtent l="0" t="0" r="0" b="0"/>
            <wp:docPr id="13" name="image8.jpeg"/>
            <wp:cNvGraphicFramePr>
              <a:graphicFrameLocks noChangeAspect="1"/>
            </wp:cNvGraphicFramePr>
            <a:graphic>
              <a:graphicData uri="http://schemas.openxmlformats.org/drawingml/2006/picture">
                <pic:pic>
                  <pic:nvPicPr>
                    <pic:cNvPr id="14" name="image8.jpeg"/>
                    <pic:cNvPicPr/>
                  </pic:nvPicPr>
                  <pic:blipFill>
                    <a:blip r:embed="rId15" cstate="print"/>
                    <a:stretch>
                      <a:fillRect/>
                    </a:stretch>
                  </pic:blipFill>
                  <pic:spPr>
                    <a:xfrm>
                      <a:off x="0" y="0"/>
                      <a:ext cx="4843782" cy="363474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4"/>
        <w:rPr>
          <w:sz w:val="27"/>
        </w:rPr>
      </w:pPr>
    </w:p>
    <w:p>
      <w:pPr>
        <w:spacing w:line="240" w:lineRule="auto" w:before="94"/>
        <w:ind w:left="674" w:right="259" w:firstLine="0"/>
        <w:jc w:val="both"/>
        <w:rPr>
          <w:b/>
          <w:sz w:val="18"/>
        </w:rPr>
      </w:pPr>
      <w:r>
        <w:rPr>
          <w:b/>
          <w:sz w:val="18"/>
        </w:rPr>
        <w:t>FIG. 7. Microestructuras representativas de Al-A206 en: a) condición T7 y Mg-AZ91 en c) colada, ambos sin refuerzo; y sus respectivas espumas sintácticas Al-A206/SiC y Mg-AZ91/SiC se muestran en b) condición T7 y d) colada. Las fases únicas y características microestructurales visibles en estas micrografías</w:t>
      </w:r>
      <w:r>
        <w:rPr>
          <w:b/>
          <w:spacing w:val="-3"/>
          <w:sz w:val="18"/>
        </w:rPr>
        <w:t> </w:t>
      </w:r>
      <w:r>
        <w:rPr>
          <w:b/>
          <w:sz w:val="18"/>
        </w:rPr>
        <w:t>tiene</w:t>
      </w:r>
      <w:r>
        <w:rPr>
          <w:b/>
          <w:spacing w:val="-3"/>
          <w:sz w:val="18"/>
        </w:rPr>
        <w:t> </w:t>
      </w:r>
      <w:r>
        <w:rPr>
          <w:b/>
          <w:sz w:val="18"/>
        </w:rPr>
        <w:t>la</w:t>
      </w:r>
      <w:r>
        <w:rPr>
          <w:b/>
          <w:spacing w:val="-5"/>
          <w:sz w:val="18"/>
        </w:rPr>
        <w:t> </w:t>
      </w:r>
      <w:r>
        <w:rPr>
          <w:b/>
          <w:sz w:val="18"/>
        </w:rPr>
        <w:t>siguiente</w:t>
      </w:r>
      <w:r>
        <w:rPr>
          <w:b/>
          <w:spacing w:val="-2"/>
          <w:sz w:val="18"/>
        </w:rPr>
        <w:t> </w:t>
      </w:r>
      <w:r>
        <w:rPr>
          <w:b/>
          <w:sz w:val="18"/>
        </w:rPr>
        <w:t>nomenclatura:</w:t>
      </w:r>
      <w:r>
        <w:rPr>
          <w:b/>
          <w:spacing w:val="-7"/>
          <w:sz w:val="18"/>
        </w:rPr>
        <w:t> </w:t>
      </w:r>
      <w:r>
        <w:rPr>
          <w:b/>
          <w:sz w:val="18"/>
        </w:rPr>
        <w:t>{en</w:t>
      </w:r>
      <w:r>
        <w:rPr>
          <w:b/>
          <w:spacing w:val="-2"/>
          <w:sz w:val="18"/>
        </w:rPr>
        <w:t> </w:t>
      </w:r>
      <w:r>
        <w:rPr>
          <w:b/>
          <w:sz w:val="18"/>
        </w:rPr>
        <w:t>partes</w:t>
      </w:r>
      <w:r>
        <w:rPr>
          <w:b/>
          <w:spacing w:val="-4"/>
          <w:sz w:val="18"/>
        </w:rPr>
        <w:t> </w:t>
      </w:r>
      <w:r>
        <w:rPr>
          <w:b/>
          <w:sz w:val="18"/>
        </w:rPr>
        <w:t>a</w:t>
      </w:r>
      <w:r>
        <w:rPr>
          <w:b/>
          <w:spacing w:val="5"/>
          <w:sz w:val="18"/>
        </w:rPr>
        <w:t> </w:t>
      </w:r>
      <w:r>
        <w:rPr>
          <w:b/>
          <w:sz w:val="18"/>
        </w:rPr>
        <w:t>-</w:t>
      </w:r>
      <w:r>
        <w:rPr>
          <w:b/>
          <w:spacing w:val="-3"/>
          <w:sz w:val="18"/>
        </w:rPr>
        <w:t> </w:t>
      </w:r>
      <w:r>
        <w:rPr>
          <w:b/>
          <w:sz w:val="18"/>
        </w:rPr>
        <w:t>b}</w:t>
      </w:r>
      <w:r>
        <w:rPr>
          <w:b/>
          <w:spacing w:val="-3"/>
          <w:sz w:val="18"/>
        </w:rPr>
        <w:t> </w:t>
      </w:r>
      <w:r>
        <w:rPr>
          <w:b/>
          <w:sz w:val="18"/>
        </w:rPr>
        <w:t>i.</w:t>
      </w:r>
      <w:r>
        <w:rPr>
          <w:b/>
          <w:spacing w:val="-2"/>
          <w:sz w:val="18"/>
        </w:rPr>
        <w:t> </w:t>
      </w:r>
      <w:r>
        <w:rPr>
          <w:b/>
          <w:sz w:val="18"/>
        </w:rPr>
        <w:t>Al-</w:t>
      </w:r>
      <w:r>
        <w:rPr>
          <w:sz w:val="18"/>
        </w:rPr>
        <w:t>α</w:t>
      </w:r>
      <w:r>
        <w:rPr>
          <w:b/>
          <w:sz w:val="18"/>
        </w:rPr>
        <w:t>,</w:t>
      </w:r>
      <w:r>
        <w:rPr>
          <w:b/>
          <w:spacing w:val="-3"/>
          <w:sz w:val="18"/>
        </w:rPr>
        <w:t> </w:t>
      </w:r>
      <w:r>
        <w:rPr>
          <w:b/>
          <w:sz w:val="18"/>
        </w:rPr>
        <w:t>ii.</w:t>
      </w:r>
      <w:r>
        <w:rPr>
          <w:b/>
          <w:spacing w:val="-3"/>
          <w:sz w:val="18"/>
        </w:rPr>
        <w:t> </w:t>
      </w:r>
      <w:r>
        <w:rPr>
          <w:b/>
          <w:sz w:val="18"/>
        </w:rPr>
        <w:t>intermetálico</w:t>
      </w:r>
      <w:r>
        <w:rPr>
          <w:b/>
          <w:spacing w:val="-4"/>
          <w:sz w:val="18"/>
        </w:rPr>
        <w:t> </w:t>
      </w:r>
      <w:r>
        <w:rPr>
          <w:b/>
          <w:sz w:val="18"/>
        </w:rPr>
        <w:t>brillante</w:t>
      </w:r>
      <w:r>
        <w:rPr>
          <w:b/>
          <w:spacing w:val="-2"/>
          <w:sz w:val="18"/>
        </w:rPr>
        <w:t> </w:t>
      </w:r>
      <w:r>
        <w:rPr>
          <w:b/>
          <w:sz w:val="18"/>
        </w:rPr>
        <w:t>(típico</w:t>
      </w:r>
      <w:r>
        <w:rPr>
          <w:b/>
          <w:spacing w:val="-3"/>
          <w:sz w:val="18"/>
        </w:rPr>
        <w:t> </w:t>
      </w:r>
      <w:r>
        <w:rPr>
          <w:b/>
          <w:sz w:val="18"/>
        </w:rPr>
        <w:t>de A206), iii. intermetálico oscuro (probablemente presente debido a la disolución del Fe), iv. porosidad,</w:t>
      </w:r>
      <w:r>
        <w:rPr>
          <w:b/>
          <w:spacing w:val="-35"/>
          <w:sz w:val="18"/>
        </w:rPr>
        <w:t> </w:t>
      </w:r>
      <w:r>
        <w:rPr>
          <w:b/>
          <w:spacing w:val="-3"/>
          <w:sz w:val="18"/>
        </w:rPr>
        <w:t>v. </w:t>
      </w:r>
      <w:r>
        <w:rPr>
          <w:b/>
          <w:sz w:val="18"/>
        </w:rPr>
        <w:t>pared de la esfera hueca de SiC, vi. poro dentro de la esfera de SiC; {en la parte c} </w:t>
      </w:r>
      <w:r>
        <w:rPr>
          <w:b/>
          <w:spacing w:val="-3"/>
          <w:sz w:val="18"/>
        </w:rPr>
        <w:t>v. </w:t>
      </w:r>
      <w:r>
        <w:rPr>
          <w:b/>
          <w:sz w:val="18"/>
        </w:rPr>
        <w:t>Mg-α, vi. intermetálico grueso, vii. intermetálico laminar, viii. porosidad; {en la parte d}, vii. Mg-α, viii. intermetálico,</w:t>
      </w:r>
      <w:r>
        <w:rPr>
          <w:b/>
          <w:spacing w:val="-4"/>
          <w:sz w:val="18"/>
        </w:rPr>
        <w:t> </w:t>
      </w:r>
      <w:r>
        <w:rPr>
          <w:b/>
          <w:sz w:val="18"/>
        </w:rPr>
        <w:t>ix.</w:t>
      </w:r>
      <w:r>
        <w:rPr>
          <w:b/>
          <w:spacing w:val="-6"/>
          <w:sz w:val="18"/>
        </w:rPr>
        <w:t> </w:t>
      </w:r>
      <w:r>
        <w:rPr>
          <w:b/>
          <w:sz w:val="18"/>
        </w:rPr>
        <w:t>pared</w:t>
      </w:r>
      <w:r>
        <w:rPr>
          <w:b/>
          <w:spacing w:val="-2"/>
          <w:sz w:val="18"/>
        </w:rPr>
        <w:t> </w:t>
      </w:r>
      <w:r>
        <w:rPr>
          <w:b/>
          <w:sz w:val="18"/>
        </w:rPr>
        <w:t>de</w:t>
      </w:r>
      <w:r>
        <w:rPr>
          <w:b/>
          <w:spacing w:val="-4"/>
          <w:sz w:val="18"/>
        </w:rPr>
        <w:t> </w:t>
      </w:r>
      <w:r>
        <w:rPr>
          <w:b/>
          <w:sz w:val="18"/>
        </w:rPr>
        <w:t>la</w:t>
      </w:r>
      <w:r>
        <w:rPr>
          <w:b/>
          <w:spacing w:val="-5"/>
          <w:sz w:val="18"/>
        </w:rPr>
        <w:t> </w:t>
      </w:r>
      <w:r>
        <w:rPr>
          <w:b/>
          <w:sz w:val="18"/>
        </w:rPr>
        <w:t>esfera</w:t>
      </w:r>
      <w:r>
        <w:rPr>
          <w:b/>
          <w:spacing w:val="-5"/>
          <w:sz w:val="18"/>
        </w:rPr>
        <w:t> </w:t>
      </w:r>
      <w:r>
        <w:rPr>
          <w:b/>
          <w:sz w:val="18"/>
        </w:rPr>
        <w:t>hueca</w:t>
      </w:r>
      <w:r>
        <w:rPr>
          <w:b/>
          <w:spacing w:val="-4"/>
          <w:sz w:val="18"/>
        </w:rPr>
        <w:t> </w:t>
      </w:r>
      <w:r>
        <w:rPr>
          <w:b/>
          <w:sz w:val="18"/>
        </w:rPr>
        <w:t>de</w:t>
      </w:r>
      <w:r>
        <w:rPr>
          <w:b/>
          <w:spacing w:val="-5"/>
          <w:sz w:val="18"/>
        </w:rPr>
        <w:t> </w:t>
      </w:r>
      <w:r>
        <w:rPr>
          <w:b/>
          <w:sz w:val="18"/>
        </w:rPr>
        <w:t>SiC,</w:t>
      </w:r>
      <w:r>
        <w:rPr>
          <w:b/>
          <w:spacing w:val="-3"/>
          <w:sz w:val="18"/>
        </w:rPr>
        <w:t> </w:t>
      </w:r>
      <w:r>
        <w:rPr>
          <w:b/>
          <w:sz w:val="18"/>
        </w:rPr>
        <w:t>x.</w:t>
      </w:r>
      <w:r>
        <w:rPr>
          <w:b/>
          <w:spacing w:val="-4"/>
          <w:sz w:val="18"/>
        </w:rPr>
        <w:t> </w:t>
      </w:r>
      <w:r>
        <w:rPr>
          <w:b/>
          <w:sz w:val="18"/>
        </w:rPr>
        <w:t>esfera</w:t>
      </w:r>
      <w:r>
        <w:rPr>
          <w:b/>
          <w:spacing w:val="-2"/>
          <w:sz w:val="18"/>
        </w:rPr>
        <w:t> </w:t>
      </w:r>
      <w:r>
        <w:rPr>
          <w:b/>
          <w:sz w:val="18"/>
        </w:rPr>
        <w:t>de</w:t>
      </w:r>
      <w:r>
        <w:rPr>
          <w:b/>
          <w:spacing w:val="-3"/>
          <w:sz w:val="18"/>
        </w:rPr>
        <w:t> </w:t>
      </w:r>
      <w:r>
        <w:rPr>
          <w:b/>
          <w:sz w:val="18"/>
        </w:rPr>
        <w:t>SiC</w:t>
      </w:r>
      <w:r>
        <w:rPr>
          <w:b/>
          <w:spacing w:val="-5"/>
          <w:sz w:val="18"/>
        </w:rPr>
        <w:t> </w:t>
      </w:r>
      <w:r>
        <w:rPr>
          <w:b/>
          <w:sz w:val="18"/>
        </w:rPr>
        <w:t>agrietada y</w:t>
      </w:r>
      <w:r>
        <w:rPr>
          <w:b/>
          <w:spacing w:val="-17"/>
          <w:sz w:val="18"/>
        </w:rPr>
        <w:t> </w:t>
      </w:r>
      <w:r>
        <w:rPr>
          <w:b/>
          <w:sz w:val="18"/>
        </w:rPr>
        <w:t>llena,</w:t>
      </w:r>
      <w:r>
        <w:rPr>
          <w:b/>
          <w:spacing w:val="-3"/>
          <w:sz w:val="18"/>
        </w:rPr>
        <w:t> </w:t>
      </w:r>
      <w:r>
        <w:rPr>
          <w:b/>
          <w:sz w:val="18"/>
        </w:rPr>
        <w:t>xi.</w:t>
      </w:r>
      <w:r>
        <w:rPr>
          <w:b/>
          <w:spacing w:val="-5"/>
          <w:sz w:val="18"/>
        </w:rPr>
        <w:t> </w:t>
      </w:r>
      <w:r>
        <w:rPr>
          <w:b/>
          <w:sz w:val="18"/>
        </w:rPr>
        <w:t>poro</w:t>
      </w:r>
      <w:r>
        <w:rPr>
          <w:b/>
          <w:spacing w:val="-3"/>
          <w:sz w:val="18"/>
        </w:rPr>
        <w:t> </w:t>
      </w:r>
      <w:r>
        <w:rPr>
          <w:b/>
          <w:sz w:val="18"/>
        </w:rPr>
        <w:t>dentro</w:t>
      </w:r>
      <w:r>
        <w:rPr>
          <w:b/>
          <w:spacing w:val="-3"/>
          <w:sz w:val="18"/>
        </w:rPr>
        <w:t> </w:t>
      </w:r>
      <w:r>
        <w:rPr>
          <w:b/>
          <w:sz w:val="18"/>
        </w:rPr>
        <w:t>de</w:t>
      </w:r>
      <w:r>
        <w:rPr>
          <w:b/>
          <w:spacing w:val="-6"/>
          <w:sz w:val="18"/>
        </w:rPr>
        <w:t> </w:t>
      </w:r>
      <w:r>
        <w:rPr>
          <w:b/>
          <w:sz w:val="18"/>
        </w:rPr>
        <w:t>la esfera de SiC, xii.</w:t>
      </w:r>
      <w:r>
        <w:rPr>
          <w:b/>
          <w:spacing w:val="-2"/>
          <w:sz w:val="18"/>
        </w:rPr>
        <w:t> </w:t>
      </w:r>
      <w:r>
        <w:rPr>
          <w:b/>
          <w:sz w:val="18"/>
        </w:rPr>
        <w:t>porosidad.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360" w:lineRule="auto" w:before="171"/>
        <w:ind w:left="674" w:right="243" w:firstLine="336"/>
        <w:jc w:val="both"/>
      </w:pPr>
      <w:r>
        <w:rPr/>
        <w:t>Después de los tratamientos térmicos (condiciones T4 y T7), la red de compuestos intermetálicos presente en las muestras en estado de colada fue parcialmente disuelta y posteriormente precipitada durante los tratamientos de envejecimiento. En los especímenes de aleación de aluminio también fueron observadas fases gruesas que contienen Fe y Si, las cuales deberían estar dispersas.</w:t>
      </w:r>
    </w:p>
    <w:p>
      <w:pPr>
        <w:spacing w:after="0" w:line="360" w:lineRule="auto"/>
        <w:jc w:val="both"/>
        <w:sectPr>
          <w:pgSz w:w="12240" w:h="15840"/>
          <w:pgMar w:header="0" w:footer="1869" w:top="1480" w:bottom="2060" w:left="1520" w:right="940"/>
        </w:sectPr>
      </w:pPr>
    </w:p>
    <w:p>
      <w:pPr>
        <w:pStyle w:val="BodyText"/>
        <w:spacing w:before="7"/>
        <w:rPr>
          <w:sz w:val="29"/>
        </w:rPr>
      </w:pPr>
    </w:p>
    <w:p>
      <w:pPr>
        <w:pStyle w:val="BodyText"/>
        <w:ind w:left="1043"/>
        <w:rPr>
          <w:sz w:val="20"/>
        </w:rPr>
      </w:pPr>
      <w:r>
        <w:rPr>
          <w:sz w:val="20"/>
        </w:rPr>
        <w:drawing>
          <wp:inline distT="0" distB="0" distL="0" distR="0">
            <wp:extent cx="4822492" cy="3612641"/>
            <wp:effectExtent l="0" t="0" r="0" b="0"/>
            <wp:docPr id="15" name="image9.jpeg"/>
            <wp:cNvGraphicFramePr>
              <a:graphicFrameLocks noChangeAspect="1"/>
            </wp:cNvGraphicFramePr>
            <a:graphic>
              <a:graphicData uri="http://schemas.openxmlformats.org/drawingml/2006/picture">
                <pic:pic>
                  <pic:nvPicPr>
                    <pic:cNvPr id="16" name="image9.jpeg"/>
                    <pic:cNvPicPr/>
                  </pic:nvPicPr>
                  <pic:blipFill>
                    <a:blip r:embed="rId16" cstate="print"/>
                    <a:stretch>
                      <a:fillRect/>
                    </a:stretch>
                  </pic:blipFill>
                  <pic:spPr>
                    <a:xfrm>
                      <a:off x="0" y="0"/>
                      <a:ext cx="4822492" cy="3612641"/>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1"/>
        <w:rPr>
          <w:sz w:val="21"/>
        </w:rPr>
      </w:pPr>
    </w:p>
    <w:p>
      <w:pPr>
        <w:spacing w:line="237" w:lineRule="auto" w:before="96"/>
        <w:ind w:left="674" w:right="43" w:firstLine="0"/>
        <w:jc w:val="left"/>
        <w:rPr>
          <w:b/>
          <w:sz w:val="18"/>
        </w:rPr>
      </w:pPr>
      <w:r>
        <w:rPr>
          <w:b/>
          <w:sz w:val="18"/>
        </w:rPr>
        <w:t>FIG. 8. Micrografías SEM de la espuma sintácticas Al-A206/SiC (a-c) y Mg-AZ91/SiC (d) sintetizados en este estudio. Las micrografías de las espumas de Al-A206/SiC se muestran en:</w:t>
      </w:r>
    </w:p>
    <w:p>
      <w:pPr>
        <w:pStyle w:val="ListParagraph"/>
        <w:numPr>
          <w:ilvl w:val="0"/>
          <w:numId w:val="19"/>
        </w:numPr>
        <w:tabs>
          <w:tab w:pos="886" w:val="left" w:leader="none"/>
        </w:tabs>
        <w:spacing w:line="240" w:lineRule="auto" w:before="158" w:after="0"/>
        <w:ind w:left="885" w:right="0" w:hanging="212"/>
        <w:jc w:val="left"/>
        <w:rPr>
          <w:b/>
          <w:sz w:val="18"/>
        </w:rPr>
      </w:pPr>
      <w:r>
        <w:rPr>
          <w:b/>
          <w:sz w:val="18"/>
        </w:rPr>
        <w:t>colada, b) condición T4, y c) condición T7 respectivamente. EDS fue utilizada para</w:t>
      </w:r>
      <w:r>
        <w:rPr>
          <w:b/>
          <w:spacing w:val="-36"/>
          <w:sz w:val="18"/>
        </w:rPr>
        <w:t> </w:t>
      </w:r>
      <w:r>
        <w:rPr>
          <w:b/>
          <w:sz w:val="18"/>
        </w:rPr>
        <w:t>identificar</w:t>
      </w:r>
    </w:p>
    <w:p>
      <w:pPr>
        <w:spacing w:before="157"/>
        <w:ind w:left="674" w:right="0" w:firstLine="0"/>
        <w:jc w:val="left"/>
        <w:rPr>
          <w:b/>
          <w:sz w:val="18"/>
        </w:rPr>
      </w:pPr>
      <w:r>
        <w:rPr>
          <w:b/>
          <w:sz w:val="18"/>
        </w:rPr>
        <w:t>la composición de las fases marcadas (XIII-XXVIII) y los resultados de los análisis son presentados en la Tabla III.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5"/>
        </w:rPr>
      </w:pPr>
    </w:p>
    <w:p>
      <w:pPr>
        <w:pStyle w:val="BodyText"/>
        <w:spacing w:line="360" w:lineRule="auto"/>
        <w:ind w:left="674" w:right="215" w:firstLine="336"/>
        <w:jc w:val="both"/>
      </w:pPr>
      <w:r>
        <w:rPr/>
        <w:t>La formación de estos compuestos intermetálicos puede originarse como resultado de la presencia de un exceso de Si en la matriz debido a una reacción parcial</w:t>
      </w:r>
      <w:r>
        <w:rPr>
          <w:spacing w:val="-11"/>
        </w:rPr>
        <w:t> </w:t>
      </w:r>
      <w:r>
        <w:rPr/>
        <w:t>entre</w:t>
      </w:r>
      <w:r>
        <w:rPr>
          <w:spacing w:val="-8"/>
        </w:rPr>
        <w:t> </w:t>
      </w:r>
      <w:r>
        <w:rPr/>
        <w:t>las</w:t>
      </w:r>
      <w:r>
        <w:rPr>
          <w:spacing w:val="-8"/>
        </w:rPr>
        <w:t> </w:t>
      </w:r>
      <w:r>
        <w:rPr/>
        <w:t>esferas</w:t>
      </w:r>
      <w:r>
        <w:rPr>
          <w:spacing w:val="-10"/>
        </w:rPr>
        <w:t> </w:t>
      </w:r>
      <w:r>
        <w:rPr/>
        <w:t>de</w:t>
      </w:r>
      <w:r>
        <w:rPr>
          <w:spacing w:val="-11"/>
        </w:rPr>
        <w:t> </w:t>
      </w:r>
      <w:r>
        <w:rPr/>
        <w:t>SiC</w:t>
      </w:r>
      <w:r>
        <w:rPr>
          <w:spacing w:val="-10"/>
        </w:rPr>
        <w:t> </w:t>
      </w:r>
      <w:r>
        <w:rPr/>
        <w:t>y</w:t>
      </w:r>
      <w:r>
        <w:rPr>
          <w:spacing w:val="-14"/>
        </w:rPr>
        <w:t> </w:t>
      </w:r>
      <w:r>
        <w:rPr/>
        <w:t>la</w:t>
      </w:r>
      <w:r>
        <w:rPr>
          <w:spacing w:val="-10"/>
        </w:rPr>
        <w:t> </w:t>
      </w:r>
      <w:r>
        <w:rPr/>
        <w:t>matriz</w:t>
      </w:r>
      <w:r>
        <w:rPr>
          <w:spacing w:val="-13"/>
        </w:rPr>
        <w:t> </w:t>
      </w:r>
      <w:r>
        <w:rPr/>
        <w:t>para</w:t>
      </w:r>
      <w:r>
        <w:rPr>
          <w:spacing w:val="-13"/>
        </w:rPr>
        <w:t> </w:t>
      </w:r>
      <w:r>
        <w:rPr/>
        <w:t>formar</w:t>
      </w:r>
      <w:r>
        <w:rPr>
          <w:spacing w:val="-12"/>
        </w:rPr>
        <w:t> </w:t>
      </w:r>
      <w:r>
        <w:rPr/>
        <w:t>carburos</w:t>
      </w:r>
      <w:r>
        <w:rPr>
          <w:spacing w:val="-9"/>
        </w:rPr>
        <w:t> </w:t>
      </w:r>
      <w:r>
        <w:rPr/>
        <w:t>de</w:t>
      </w:r>
      <w:r>
        <w:rPr>
          <w:spacing w:val="-11"/>
        </w:rPr>
        <w:t> </w:t>
      </w:r>
      <w:r>
        <w:rPr/>
        <w:t>aluminio</w:t>
      </w:r>
      <w:r>
        <w:rPr>
          <w:spacing w:val="-11"/>
        </w:rPr>
        <w:t> </w:t>
      </w:r>
      <w:r>
        <w:rPr/>
        <w:t>[44],</w:t>
      </w:r>
      <w:r>
        <w:rPr>
          <w:spacing w:val="-11"/>
        </w:rPr>
        <w:t> </w:t>
      </w:r>
      <w:r>
        <w:rPr/>
        <w:t>así como debido a la disolución parcial del tubo de acero que fue utilizado como</w:t>
      </w:r>
      <w:r>
        <w:rPr>
          <w:spacing w:val="-45"/>
        </w:rPr>
        <w:t> </w:t>
      </w:r>
      <w:r>
        <w:rPr/>
        <w:t>crisol.</w:t>
      </w:r>
    </w:p>
    <w:p>
      <w:pPr>
        <w:pStyle w:val="BodyText"/>
        <w:rPr>
          <w:sz w:val="26"/>
        </w:rPr>
      </w:pPr>
    </w:p>
    <w:p>
      <w:pPr>
        <w:pStyle w:val="BodyText"/>
        <w:spacing w:before="11"/>
        <w:rPr>
          <w:sz w:val="37"/>
        </w:rPr>
      </w:pPr>
    </w:p>
    <w:p>
      <w:pPr>
        <w:pStyle w:val="BodyText"/>
        <w:ind w:left="1002"/>
      </w:pPr>
      <w:r>
        <w:rPr/>
        <w:t>También se observó cierto agrietamiento de las esferas, lo que probablemente se</w:t>
      </w:r>
    </w:p>
    <w:p>
      <w:pPr>
        <w:spacing w:after="0"/>
        <w:sectPr>
          <w:pgSz w:w="12240" w:h="15840"/>
          <w:pgMar w:header="0" w:footer="1869" w:top="1500" w:bottom="2060" w:left="1520" w:right="940"/>
        </w:sectPr>
      </w:pPr>
    </w:p>
    <w:p>
      <w:pPr>
        <w:pStyle w:val="BodyText"/>
        <w:spacing w:line="360" w:lineRule="auto" w:before="79"/>
        <w:ind w:left="674" w:right="218"/>
        <w:jc w:val="both"/>
      </w:pPr>
      <w:r>
        <w:rPr/>
        <w:t>originó</w:t>
      </w:r>
      <w:r>
        <w:rPr>
          <w:spacing w:val="-13"/>
        </w:rPr>
        <w:t> </w:t>
      </w:r>
      <w:r>
        <w:rPr/>
        <w:t>durante</w:t>
      </w:r>
      <w:r>
        <w:rPr>
          <w:spacing w:val="-14"/>
        </w:rPr>
        <w:t> </w:t>
      </w:r>
      <w:r>
        <w:rPr/>
        <w:t>o</w:t>
      </w:r>
      <w:r>
        <w:rPr>
          <w:spacing w:val="-14"/>
        </w:rPr>
        <w:t> </w:t>
      </w:r>
      <w:r>
        <w:rPr/>
        <w:t>después</w:t>
      </w:r>
      <w:r>
        <w:rPr>
          <w:spacing w:val="-16"/>
        </w:rPr>
        <w:t> </w:t>
      </w:r>
      <w:r>
        <w:rPr/>
        <w:t>de</w:t>
      </w:r>
      <w:r>
        <w:rPr>
          <w:spacing w:val="-13"/>
        </w:rPr>
        <w:t> </w:t>
      </w:r>
      <w:r>
        <w:rPr/>
        <w:t>la</w:t>
      </w:r>
      <w:r>
        <w:rPr>
          <w:spacing w:val="-13"/>
        </w:rPr>
        <w:t> </w:t>
      </w:r>
      <w:r>
        <w:rPr/>
        <w:t>solidificación</w:t>
      </w:r>
      <w:r>
        <w:rPr>
          <w:spacing w:val="-17"/>
        </w:rPr>
        <w:t> </w:t>
      </w:r>
      <w:r>
        <w:rPr/>
        <w:t>debido</w:t>
      </w:r>
      <w:r>
        <w:rPr>
          <w:spacing w:val="-15"/>
        </w:rPr>
        <w:t> </w:t>
      </w:r>
      <w:r>
        <w:rPr/>
        <w:t>a</w:t>
      </w:r>
      <w:r>
        <w:rPr>
          <w:spacing w:val="-13"/>
        </w:rPr>
        <w:t> </w:t>
      </w:r>
      <w:r>
        <w:rPr/>
        <w:t>una</w:t>
      </w:r>
      <w:r>
        <w:rPr>
          <w:spacing w:val="-12"/>
        </w:rPr>
        <w:t> </w:t>
      </w:r>
      <w:r>
        <w:rPr/>
        <w:t>incompatibilidad</w:t>
      </w:r>
      <w:r>
        <w:rPr>
          <w:spacing w:val="-14"/>
        </w:rPr>
        <w:t> </w:t>
      </w:r>
      <w:r>
        <w:rPr/>
        <w:t>entre</w:t>
      </w:r>
      <w:r>
        <w:rPr>
          <w:spacing w:val="-13"/>
        </w:rPr>
        <w:t> </w:t>
      </w:r>
      <w:r>
        <w:rPr/>
        <w:t>los coeficientes</w:t>
      </w:r>
      <w:r>
        <w:rPr>
          <w:spacing w:val="-20"/>
        </w:rPr>
        <w:t> </w:t>
      </w:r>
      <w:r>
        <w:rPr/>
        <w:t>de</w:t>
      </w:r>
      <w:r>
        <w:rPr>
          <w:spacing w:val="-17"/>
        </w:rPr>
        <w:t> </w:t>
      </w:r>
      <w:r>
        <w:rPr/>
        <w:t>expansión</w:t>
      </w:r>
      <w:r>
        <w:rPr>
          <w:spacing w:val="-16"/>
        </w:rPr>
        <w:t> </w:t>
      </w:r>
      <w:r>
        <w:rPr/>
        <w:t>térmica</w:t>
      </w:r>
      <w:r>
        <w:rPr>
          <w:spacing w:val="-19"/>
        </w:rPr>
        <w:t> </w:t>
      </w:r>
      <w:r>
        <w:rPr/>
        <w:t>(CTE)</w:t>
      </w:r>
      <w:r>
        <w:rPr>
          <w:spacing w:val="-19"/>
        </w:rPr>
        <w:t> </w:t>
      </w:r>
      <w:r>
        <w:rPr/>
        <w:t>de</w:t>
      </w:r>
      <w:r>
        <w:rPr>
          <w:spacing w:val="-18"/>
        </w:rPr>
        <w:t> </w:t>
      </w:r>
      <w:r>
        <w:rPr/>
        <w:t>la</w:t>
      </w:r>
      <w:r>
        <w:rPr>
          <w:spacing w:val="-20"/>
        </w:rPr>
        <w:t> </w:t>
      </w:r>
      <w:r>
        <w:rPr/>
        <w:t>matriz</w:t>
      </w:r>
      <w:r>
        <w:rPr>
          <w:spacing w:val="-22"/>
        </w:rPr>
        <w:t> </w:t>
      </w:r>
      <w:r>
        <w:rPr/>
        <w:t>y</w:t>
      </w:r>
      <w:r>
        <w:rPr>
          <w:spacing w:val="-20"/>
        </w:rPr>
        <w:t> </w:t>
      </w:r>
      <w:r>
        <w:rPr/>
        <w:t>el</w:t>
      </w:r>
      <w:r>
        <w:rPr>
          <w:spacing w:val="-18"/>
        </w:rPr>
        <w:t> </w:t>
      </w:r>
      <w:r>
        <w:rPr/>
        <w:t>refuerzo,</w:t>
      </w:r>
      <w:r>
        <w:rPr>
          <w:spacing w:val="-17"/>
        </w:rPr>
        <w:t> </w:t>
      </w:r>
      <w:r>
        <w:rPr>
          <w:spacing w:val="-3"/>
        </w:rPr>
        <w:t>ya</w:t>
      </w:r>
      <w:r>
        <w:rPr>
          <w:spacing w:val="-16"/>
        </w:rPr>
        <w:t> </w:t>
      </w:r>
      <w:r>
        <w:rPr/>
        <w:t>que</w:t>
      </w:r>
      <w:r>
        <w:rPr>
          <w:spacing w:val="-16"/>
        </w:rPr>
        <w:t> </w:t>
      </w:r>
      <w:r>
        <w:rPr/>
        <w:t>se</w:t>
      </w:r>
      <w:r>
        <w:rPr>
          <w:spacing w:val="-19"/>
        </w:rPr>
        <w:t> </w:t>
      </w:r>
      <w:r>
        <w:rPr/>
        <w:t>observa poca</w:t>
      </w:r>
      <w:r>
        <w:rPr>
          <w:spacing w:val="-18"/>
        </w:rPr>
        <w:t> </w:t>
      </w:r>
      <w:r>
        <w:rPr/>
        <w:t>o</w:t>
      </w:r>
      <w:r>
        <w:rPr>
          <w:spacing w:val="-14"/>
        </w:rPr>
        <w:t> </w:t>
      </w:r>
      <w:r>
        <w:rPr/>
        <w:t>ninguna</w:t>
      </w:r>
      <w:r>
        <w:rPr>
          <w:spacing w:val="-14"/>
        </w:rPr>
        <w:t> </w:t>
      </w:r>
      <w:r>
        <w:rPr/>
        <w:t>infiltración</w:t>
      </w:r>
      <w:r>
        <w:rPr>
          <w:spacing w:val="-14"/>
        </w:rPr>
        <w:t> </w:t>
      </w:r>
      <w:r>
        <w:rPr/>
        <w:t>de</w:t>
      </w:r>
      <w:r>
        <w:rPr>
          <w:spacing w:val="-14"/>
        </w:rPr>
        <w:t> </w:t>
      </w:r>
      <w:r>
        <w:rPr/>
        <w:t>las</w:t>
      </w:r>
      <w:r>
        <w:rPr>
          <w:spacing w:val="-15"/>
        </w:rPr>
        <w:t> </w:t>
      </w:r>
      <w:r>
        <w:rPr/>
        <w:t>esferas.</w:t>
      </w:r>
      <w:r>
        <w:rPr>
          <w:spacing w:val="-16"/>
        </w:rPr>
        <w:t> </w:t>
      </w:r>
      <w:r>
        <w:rPr/>
        <w:t>La</w:t>
      </w:r>
      <w:r>
        <w:rPr>
          <w:spacing w:val="-19"/>
        </w:rPr>
        <w:t> </w:t>
      </w:r>
      <w:r>
        <w:rPr/>
        <w:t>microestructura</w:t>
      </w:r>
      <w:r>
        <w:rPr>
          <w:spacing w:val="-16"/>
        </w:rPr>
        <w:t> </w:t>
      </w:r>
      <w:r>
        <w:rPr/>
        <w:t>de</w:t>
      </w:r>
      <w:r>
        <w:rPr>
          <w:spacing w:val="-15"/>
        </w:rPr>
        <w:t> </w:t>
      </w:r>
      <w:r>
        <w:rPr/>
        <w:t>la</w:t>
      </w:r>
      <w:r>
        <w:rPr>
          <w:spacing w:val="-16"/>
        </w:rPr>
        <w:t> </w:t>
      </w:r>
      <w:r>
        <w:rPr/>
        <w:t>espuma</w:t>
      </w:r>
      <w:r>
        <w:rPr>
          <w:spacing w:val="-16"/>
        </w:rPr>
        <w:t> </w:t>
      </w:r>
      <w:r>
        <w:rPr/>
        <w:t>sintáctica Mg-AZ91/SiC presenta un refinamiento en comparación con la matriz metálica colada bajo condiciones similares, </w:t>
      </w:r>
      <w:r>
        <w:rPr>
          <w:spacing w:val="-3"/>
        </w:rPr>
        <w:t>lo </w:t>
      </w:r>
      <w:r>
        <w:rPr/>
        <w:t>cual probablemente se deba a que la solidificación</w:t>
      </w:r>
      <w:r>
        <w:rPr>
          <w:spacing w:val="-14"/>
        </w:rPr>
        <w:t> </w:t>
      </w:r>
      <w:r>
        <w:rPr>
          <w:spacing w:val="-2"/>
        </w:rPr>
        <w:t>del</w:t>
      </w:r>
      <w:r>
        <w:rPr>
          <w:spacing w:val="-18"/>
        </w:rPr>
        <w:t> </w:t>
      </w:r>
      <w:r>
        <w:rPr/>
        <w:t>líquido</w:t>
      </w:r>
      <w:r>
        <w:rPr>
          <w:spacing w:val="-16"/>
        </w:rPr>
        <w:t> </w:t>
      </w:r>
      <w:r>
        <w:rPr/>
        <w:t>se</w:t>
      </w:r>
      <w:r>
        <w:rPr>
          <w:spacing w:val="-16"/>
        </w:rPr>
        <w:t> </w:t>
      </w:r>
      <w:r>
        <w:rPr>
          <w:spacing w:val="-3"/>
        </w:rPr>
        <w:t>ve</w:t>
      </w:r>
      <w:r>
        <w:rPr>
          <w:spacing w:val="-17"/>
        </w:rPr>
        <w:t> </w:t>
      </w:r>
      <w:r>
        <w:rPr/>
        <w:t>limitada</w:t>
      </w:r>
      <w:r>
        <w:rPr>
          <w:spacing w:val="-19"/>
        </w:rPr>
        <w:t> </w:t>
      </w:r>
      <w:r>
        <w:rPr/>
        <w:t>por</w:t>
      </w:r>
      <w:r>
        <w:rPr>
          <w:spacing w:val="-17"/>
        </w:rPr>
        <w:t> </w:t>
      </w:r>
      <w:r>
        <w:rPr/>
        <w:t>los</w:t>
      </w:r>
      <w:r>
        <w:rPr>
          <w:spacing w:val="-16"/>
        </w:rPr>
        <w:t> </w:t>
      </w:r>
      <w:r>
        <w:rPr/>
        <w:t>espacios</w:t>
      </w:r>
      <w:r>
        <w:rPr>
          <w:spacing w:val="-17"/>
        </w:rPr>
        <w:t> </w:t>
      </w:r>
      <w:r>
        <w:rPr/>
        <w:t>restringidos</w:t>
      </w:r>
      <w:r>
        <w:rPr>
          <w:spacing w:val="-17"/>
        </w:rPr>
        <w:t> </w:t>
      </w:r>
      <w:r>
        <w:rPr/>
        <w:t>entre</w:t>
      </w:r>
      <w:r>
        <w:rPr>
          <w:spacing w:val="-17"/>
        </w:rPr>
        <w:t> </w:t>
      </w:r>
      <w:r>
        <w:rPr/>
        <w:t>las</w:t>
      </w:r>
      <w:r>
        <w:rPr>
          <w:spacing w:val="-17"/>
        </w:rPr>
        <w:t> </w:t>
      </w:r>
      <w:r>
        <w:rPr/>
        <w:t>esferas.</w:t>
      </w:r>
    </w:p>
    <w:p>
      <w:pPr>
        <w:pStyle w:val="BodyText"/>
        <w:rPr>
          <w:sz w:val="26"/>
        </w:rPr>
      </w:pPr>
    </w:p>
    <w:p>
      <w:pPr>
        <w:pStyle w:val="BodyText"/>
        <w:spacing w:before="8"/>
        <w:rPr>
          <w:sz w:val="37"/>
        </w:rPr>
      </w:pPr>
    </w:p>
    <w:p>
      <w:pPr>
        <w:pStyle w:val="BodyText"/>
        <w:spacing w:line="360" w:lineRule="auto"/>
        <w:ind w:left="674" w:right="217" w:firstLine="348"/>
        <w:jc w:val="both"/>
      </w:pPr>
      <w:r>
        <w:rPr/>
        <w:t>La espectroscopia de emisión difusa (EDS) efectuada sobre las espumas sintácticas de Mg-AZ91/SiC mostró la presencia de compuestos intermetálicos que contienen pequeñas cantidades de Si, los cuales pueden estar presentes debido a la reacción entre las esferas huecas de SiC y la matriz de la aleación [45].</w:t>
      </w:r>
    </w:p>
    <w:p>
      <w:pPr>
        <w:pStyle w:val="BodyText"/>
        <w:rPr>
          <w:sz w:val="26"/>
        </w:rPr>
      </w:pPr>
    </w:p>
    <w:p>
      <w:pPr>
        <w:pStyle w:val="BodyText"/>
        <w:spacing w:before="10"/>
        <w:rPr>
          <w:sz w:val="37"/>
        </w:rPr>
      </w:pPr>
    </w:p>
    <w:p>
      <w:pPr>
        <w:pStyle w:val="BodyText"/>
        <w:spacing w:line="360" w:lineRule="auto"/>
        <w:ind w:left="674" w:right="218" w:firstLine="336"/>
        <w:jc w:val="both"/>
      </w:pPr>
      <w:r>
        <w:rPr/>
        <w:t>La presencia de silicio en la aleación puede resultar en la formación de una morfología denominada "escritura china" gruesa, la cual comprende una fase </w:t>
      </w:r>
      <w:r>
        <w:rPr>
          <w:position w:val="2"/>
        </w:rPr>
        <w:t>intermetálica de Mg</w:t>
      </w:r>
      <w:r>
        <w:rPr>
          <w:sz w:val="16"/>
        </w:rPr>
        <w:t>2</w:t>
      </w:r>
      <w:r>
        <w:rPr>
          <w:position w:val="2"/>
        </w:rPr>
        <w:t>Si que es perjudicial para las propiedades mecánicas de las </w:t>
      </w:r>
      <w:r>
        <w:rPr/>
        <w:t>aleaciones de Mg [42]. Sin embargo, en el presente estudio no fue observada esta fase intermetálica en las espumas sintácticas de aleación de magnesio.</w:t>
      </w:r>
    </w:p>
    <w:p>
      <w:pPr>
        <w:pStyle w:val="BodyText"/>
        <w:rPr>
          <w:sz w:val="26"/>
        </w:rPr>
      </w:pPr>
    </w:p>
    <w:p>
      <w:pPr>
        <w:pStyle w:val="BodyText"/>
        <w:rPr>
          <w:sz w:val="26"/>
        </w:rPr>
      </w:pPr>
    </w:p>
    <w:p>
      <w:pPr>
        <w:pStyle w:val="BodyText"/>
        <w:rPr>
          <w:sz w:val="26"/>
        </w:rPr>
      </w:pPr>
    </w:p>
    <w:p>
      <w:pPr>
        <w:pStyle w:val="Heading2"/>
        <w:numPr>
          <w:ilvl w:val="1"/>
          <w:numId w:val="17"/>
        </w:numPr>
        <w:tabs>
          <w:tab w:pos="1486" w:val="left" w:leader="none"/>
        </w:tabs>
        <w:spacing w:line="240" w:lineRule="auto" w:before="197" w:after="0"/>
        <w:ind w:left="1485" w:right="0" w:hanging="407"/>
        <w:jc w:val="left"/>
      </w:pPr>
      <w:r>
        <w:rPr/>
        <w:t>Propiedades de compresión bajo condiciones</w:t>
      </w:r>
      <w:r>
        <w:rPr>
          <w:spacing w:val="-6"/>
        </w:rPr>
        <w:t> </w:t>
      </w:r>
      <w:r>
        <w:rPr/>
        <w:t>cuasi-estáticas</w:t>
      </w:r>
    </w:p>
    <w:p>
      <w:pPr>
        <w:pStyle w:val="BodyText"/>
        <w:rPr>
          <w:b/>
          <w:sz w:val="26"/>
        </w:rPr>
      </w:pPr>
    </w:p>
    <w:p>
      <w:pPr>
        <w:pStyle w:val="BodyText"/>
        <w:rPr>
          <w:b/>
          <w:sz w:val="26"/>
        </w:rPr>
      </w:pPr>
    </w:p>
    <w:p>
      <w:pPr>
        <w:pStyle w:val="BodyText"/>
        <w:spacing w:before="4"/>
        <w:rPr>
          <w:b/>
          <w:sz w:val="20"/>
        </w:rPr>
      </w:pPr>
    </w:p>
    <w:p>
      <w:pPr>
        <w:pStyle w:val="BodyText"/>
        <w:spacing w:line="360" w:lineRule="auto" w:before="1"/>
        <w:ind w:left="674" w:right="235" w:firstLine="336"/>
        <w:jc w:val="both"/>
      </w:pPr>
      <w:r>
        <w:rPr/>
        <w:t>La Tabla IV presenta los valores del máximo esfuerzo a la compresión, el esfuerzo en absorción, la deformación de densificación y la tenacidad de las espumas</w:t>
      </w:r>
      <w:r>
        <w:rPr>
          <w:spacing w:val="-9"/>
        </w:rPr>
        <w:t> </w:t>
      </w:r>
      <w:r>
        <w:rPr/>
        <w:t>sintácticas</w:t>
      </w:r>
      <w:r>
        <w:rPr>
          <w:spacing w:val="-9"/>
        </w:rPr>
        <w:t> </w:t>
      </w:r>
      <w:r>
        <w:rPr/>
        <w:t>sintetizadas</w:t>
      </w:r>
      <w:r>
        <w:rPr>
          <w:spacing w:val="-11"/>
        </w:rPr>
        <w:t> </w:t>
      </w:r>
      <w:r>
        <w:rPr/>
        <w:t>en</w:t>
      </w:r>
      <w:r>
        <w:rPr>
          <w:spacing w:val="-9"/>
        </w:rPr>
        <w:t> </w:t>
      </w:r>
      <w:r>
        <w:rPr/>
        <w:t>el</w:t>
      </w:r>
      <w:r>
        <w:rPr>
          <w:spacing w:val="-9"/>
        </w:rPr>
        <w:t> </w:t>
      </w:r>
      <w:r>
        <w:rPr/>
        <w:t>presente</w:t>
      </w:r>
      <w:r>
        <w:rPr>
          <w:spacing w:val="-8"/>
        </w:rPr>
        <w:t> </w:t>
      </w:r>
      <w:r>
        <w:rPr/>
        <w:t>estudio.</w:t>
      </w:r>
      <w:r>
        <w:rPr>
          <w:spacing w:val="-8"/>
        </w:rPr>
        <w:t> </w:t>
      </w:r>
      <w:r>
        <w:rPr/>
        <w:t>En</w:t>
      </w:r>
      <w:r>
        <w:rPr>
          <w:spacing w:val="-7"/>
        </w:rPr>
        <w:t> </w:t>
      </w:r>
      <w:r>
        <w:rPr/>
        <w:t>la</w:t>
      </w:r>
      <w:r>
        <w:rPr>
          <w:spacing w:val="-8"/>
        </w:rPr>
        <w:t> </w:t>
      </w:r>
      <w:r>
        <w:rPr/>
        <w:t>Figura</w:t>
      </w:r>
      <w:r>
        <w:rPr>
          <w:spacing w:val="-8"/>
        </w:rPr>
        <w:t> </w:t>
      </w:r>
      <w:r>
        <w:rPr/>
        <w:t>9</w:t>
      </w:r>
      <w:r>
        <w:rPr>
          <w:spacing w:val="-8"/>
        </w:rPr>
        <w:t> </w:t>
      </w:r>
      <w:r>
        <w:rPr/>
        <w:t>se</w:t>
      </w:r>
      <w:r>
        <w:rPr>
          <w:spacing w:val="-8"/>
        </w:rPr>
        <w:t> </w:t>
      </w:r>
      <w:r>
        <w:rPr/>
        <w:t>muestran </w:t>
      </w:r>
      <w:r>
        <w:rPr>
          <w:spacing w:val="-2"/>
        </w:rPr>
        <w:t>curvas </w:t>
      </w:r>
      <w:r>
        <w:rPr/>
        <w:t>esfuerzo-deformación representativas del presente estudio obtenidas bajo condiciones cuasi-estáticas.</w:t>
      </w:r>
    </w:p>
    <w:p>
      <w:pPr>
        <w:spacing w:after="0" w:line="360" w:lineRule="auto"/>
        <w:jc w:val="both"/>
        <w:sectPr>
          <w:pgSz w:w="12240" w:h="15840"/>
          <w:pgMar w:header="0" w:footer="1869" w:top="1400" w:bottom="2060" w:left="1520" w:right="940"/>
        </w:sectPr>
      </w:pPr>
    </w:p>
    <w:p>
      <w:pPr>
        <w:pStyle w:val="BodyText"/>
        <w:rPr>
          <w:sz w:val="20"/>
        </w:rPr>
      </w:pPr>
    </w:p>
    <w:p>
      <w:pPr>
        <w:pStyle w:val="BodyText"/>
        <w:rPr>
          <w:sz w:val="20"/>
        </w:rPr>
      </w:pPr>
    </w:p>
    <w:p>
      <w:pPr>
        <w:pStyle w:val="BodyText"/>
        <w:spacing w:line="360" w:lineRule="auto" w:before="93"/>
        <w:ind w:left="674" w:right="235" w:firstLine="331"/>
        <w:jc w:val="both"/>
      </w:pPr>
      <w:r>
        <w:rPr/>
        <w:t>A</w:t>
      </w:r>
      <w:r>
        <w:rPr>
          <w:spacing w:val="-13"/>
        </w:rPr>
        <w:t> </w:t>
      </w:r>
      <w:r>
        <w:rPr/>
        <w:t>partir</w:t>
      </w:r>
      <w:r>
        <w:rPr>
          <w:spacing w:val="-14"/>
        </w:rPr>
        <w:t> </w:t>
      </w:r>
      <w:r>
        <w:rPr/>
        <w:t>de</w:t>
      </w:r>
      <w:r>
        <w:rPr>
          <w:spacing w:val="-12"/>
        </w:rPr>
        <w:t> </w:t>
      </w:r>
      <w:r>
        <w:rPr/>
        <w:t>estos</w:t>
      </w:r>
      <w:r>
        <w:rPr>
          <w:spacing w:val="-15"/>
        </w:rPr>
        <w:t> </w:t>
      </w:r>
      <w:r>
        <w:rPr/>
        <w:t>datos,</w:t>
      </w:r>
      <w:r>
        <w:rPr>
          <w:spacing w:val="-10"/>
        </w:rPr>
        <w:t> </w:t>
      </w:r>
      <w:r>
        <w:rPr/>
        <w:t>la</w:t>
      </w:r>
      <w:r>
        <w:rPr>
          <w:spacing w:val="-10"/>
        </w:rPr>
        <w:t> </w:t>
      </w:r>
      <w:r>
        <w:rPr/>
        <w:t>Figura</w:t>
      </w:r>
      <w:r>
        <w:rPr>
          <w:spacing w:val="-12"/>
        </w:rPr>
        <w:t> </w:t>
      </w:r>
      <w:r>
        <w:rPr/>
        <w:t>10</w:t>
      </w:r>
      <w:r>
        <w:rPr>
          <w:spacing w:val="-12"/>
        </w:rPr>
        <w:t> </w:t>
      </w:r>
      <w:r>
        <w:rPr/>
        <w:t>muestra</w:t>
      </w:r>
      <w:r>
        <w:rPr>
          <w:spacing w:val="-9"/>
        </w:rPr>
        <w:t> </w:t>
      </w:r>
      <w:r>
        <w:rPr/>
        <w:t>que</w:t>
      </w:r>
      <w:r>
        <w:rPr>
          <w:spacing w:val="-12"/>
        </w:rPr>
        <w:t> </w:t>
      </w:r>
      <w:r>
        <w:rPr/>
        <w:t>existe</w:t>
      </w:r>
      <w:r>
        <w:rPr>
          <w:spacing w:val="-9"/>
        </w:rPr>
        <w:t> </w:t>
      </w:r>
      <w:r>
        <w:rPr/>
        <w:t>una</w:t>
      </w:r>
      <w:r>
        <w:rPr>
          <w:spacing w:val="-12"/>
        </w:rPr>
        <w:t> </w:t>
      </w:r>
      <w:r>
        <w:rPr/>
        <w:t>relación</w:t>
      </w:r>
      <w:r>
        <w:rPr>
          <w:spacing w:val="-11"/>
        </w:rPr>
        <w:t> </w:t>
      </w:r>
      <w:r>
        <w:rPr/>
        <w:t>directa</w:t>
      </w:r>
      <w:r>
        <w:rPr>
          <w:spacing w:val="-13"/>
        </w:rPr>
        <w:t> </w:t>
      </w:r>
      <w:r>
        <w:rPr/>
        <w:t>entre el máximo esfuerzo a la compresión de las espumas sintácticas y el esfuerzo de fluencia de la matriz metálica, lo cual se evidencia por el incremento en el máximo esfuerzo</w:t>
      </w:r>
      <w:r>
        <w:rPr>
          <w:spacing w:val="-10"/>
        </w:rPr>
        <w:t> </w:t>
      </w:r>
      <w:r>
        <w:rPr/>
        <w:t>a</w:t>
      </w:r>
      <w:r>
        <w:rPr>
          <w:spacing w:val="-10"/>
        </w:rPr>
        <w:t> </w:t>
      </w:r>
      <w:r>
        <w:rPr/>
        <w:t>la</w:t>
      </w:r>
      <w:r>
        <w:rPr>
          <w:spacing w:val="-10"/>
        </w:rPr>
        <w:t> </w:t>
      </w:r>
      <w:r>
        <w:rPr/>
        <w:t>compresión</w:t>
      </w:r>
      <w:r>
        <w:rPr>
          <w:spacing w:val="-12"/>
        </w:rPr>
        <w:t> </w:t>
      </w:r>
      <w:r>
        <w:rPr/>
        <w:t>desde</w:t>
      </w:r>
      <w:r>
        <w:rPr>
          <w:spacing w:val="-9"/>
        </w:rPr>
        <w:t> </w:t>
      </w:r>
      <w:r>
        <w:rPr/>
        <w:t>la</w:t>
      </w:r>
      <w:r>
        <w:rPr>
          <w:spacing w:val="-13"/>
        </w:rPr>
        <w:t> </w:t>
      </w:r>
      <w:r>
        <w:rPr/>
        <w:t>condición</w:t>
      </w:r>
      <w:r>
        <w:rPr>
          <w:spacing w:val="-16"/>
        </w:rPr>
        <w:t> </w:t>
      </w:r>
      <w:r>
        <w:rPr/>
        <w:t>de</w:t>
      </w:r>
      <w:r>
        <w:rPr>
          <w:spacing w:val="-13"/>
        </w:rPr>
        <w:t> </w:t>
      </w:r>
      <w:r>
        <w:rPr/>
        <w:t>colada,</w:t>
      </w:r>
      <w:r>
        <w:rPr>
          <w:spacing w:val="-14"/>
        </w:rPr>
        <w:t> </w:t>
      </w:r>
      <w:r>
        <w:rPr/>
        <w:t>pasando</w:t>
      </w:r>
      <w:r>
        <w:rPr>
          <w:spacing w:val="-12"/>
        </w:rPr>
        <w:t> </w:t>
      </w:r>
      <w:r>
        <w:rPr/>
        <w:t>por</w:t>
      </w:r>
      <w:r>
        <w:rPr>
          <w:spacing w:val="-11"/>
        </w:rPr>
        <w:t> </w:t>
      </w:r>
      <w:r>
        <w:rPr>
          <w:spacing w:val="-3"/>
        </w:rPr>
        <w:t>la</w:t>
      </w:r>
      <w:r>
        <w:rPr>
          <w:spacing w:val="-10"/>
        </w:rPr>
        <w:t> </w:t>
      </w:r>
      <w:r>
        <w:rPr/>
        <w:t>condición</w:t>
      </w:r>
      <w:r>
        <w:rPr>
          <w:spacing w:val="-14"/>
        </w:rPr>
        <w:t> </w:t>
      </w:r>
      <w:r>
        <w:rPr/>
        <w:t>T4 hasta alcanzar los mayores valores para la condición</w:t>
      </w:r>
      <w:r>
        <w:rPr>
          <w:spacing w:val="-8"/>
        </w:rPr>
        <w:t> </w:t>
      </w:r>
      <w:r>
        <w:rPr/>
        <w:t>T7.</w:t>
      </w:r>
    </w:p>
    <w:p>
      <w:pPr>
        <w:pStyle w:val="BodyText"/>
        <w:rPr>
          <w:sz w:val="26"/>
        </w:rPr>
      </w:pPr>
    </w:p>
    <w:p>
      <w:pPr>
        <w:pStyle w:val="BodyText"/>
        <w:spacing w:before="8"/>
        <w:rPr>
          <w:sz w:val="37"/>
        </w:rPr>
      </w:pPr>
    </w:p>
    <w:p>
      <w:pPr>
        <w:pStyle w:val="BodyText"/>
        <w:spacing w:line="360" w:lineRule="auto" w:before="1"/>
        <w:ind w:left="674" w:right="236" w:firstLine="324"/>
        <w:jc w:val="both"/>
      </w:pPr>
      <w:r>
        <w:rPr/>
        <w:t>Esta relación sigue el patrón observado para el esfuerzo de fluencia de la aleación metálica (Al- A206) en estado de colada y luego de ser tratada térmicamente bajo las mismas condiciones (T4 y T7).</w:t>
      </w:r>
    </w:p>
    <w:p>
      <w:pPr>
        <w:pStyle w:val="BodyText"/>
        <w:rPr>
          <w:sz w:val="26"/>
        </w:rPr>
      </w:pPr>
    </w:p>
    <w:p>
      <w:pPr>
        <w:pStyle w:val="BodyText"/>
        <w:spacing w:before="9"/>
        <w:rPr>
          <w:sz w:val="37"/>
        </w:rPr>
      </w:pPr>
    </w:p>
    <w:p>
      <w:pPr>
        <w:pStyle w:val="BodyText"/>
        <w:spacing w:line="360" w:lineRule="auto"/>
        <w:ind w:left="674" w:right="235" w:firstLine="324"/>
        <w:jc w:val="both"/>
      </w:pPr>
      <w:r>
        <w:rPr/>
        <w:t>Se observa también en la Figura 10 que el esfuerzo en absorción y la tenacidad de las espumas sintácticas siguen la misma relación lineal con el esfuerzo de fluencia de la matriz metálica.</w:t>
      </w:r>
    </w:p>
    <w:p>
      <w:pPr>
        <w:spacing w:after="0" w:line="360" w:lineRule="auto"/>
        <w:jc w:val="both"/>
        <w:sectPr>
          <w:pgSz w:w="12240" w:h="15840"/>
          <w:pgMar w:header="0" w:footer="1869" w:top="1500" w:bottom="2060" w:left="1520" w:right="940"/>
        </w:sectPr>
      </w:pPr>
    </w:p>
    <w:p>
      <w:pPr>
        <w:pStyle w:val="BodyText"/>
        <w:spacing w:before="3"/>
        <w:rPr>
          <w:sz w:val="3"/>
        </w:rPr>
      </w:pPr>
    </w:p>
    <w:p>
      <w:pPr>
        <w:pStyle w:val="BodyText"/>
        <w:ind w:left="1468"/>
        <w:rPr>
          <w:sz w:val="20"/>
        </w:rPr>
      </w:pPr>
      <w:r>
        <w:rPr>
          <w:sz w:val="20"/>
        </w:rPr>
        <w:drawing>
          <wp:inline distT="0" distB="0" distL="0" distR="0">
            <wp:extent cx="4276917" cy="3218688"/>
            <wp:effectExtent l="0" t="0" r="0" b="0"/>
            <wp:docPr id="17" name="image10.jpeg"/>
            <wp:cNvGraphicFramePr>
              <a:graphicFrameLocks noChangeAspect="1"/>
            </wp:cNvGraphicFramePr>
            <a:graphic>
              <a:graphicData uri="http://schemas.openxmlformats.org/drawingml/2006/picture">
                <pic:pic>
                  <pic:nvPicPr>
                    <pic:cNvPr id="18" name="image10.jpeg"/>
                    <pic:cNvPicPr/>
                  </pic:nvPicPr>
                  <pic:blipFill>
                    <a:blip r:embed="rId17" cstate="print"/>
                    <a:stretch>
                      <a:fillRect/>
                    </a:stretch>
                  </pic:blipFill>
                  <pic:spPr>
                    <a:xfrm>
                      <a:off x="0" y="0"/>
                      <a:ext cx="4276917" cy="321868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2"/>
        <w:rPr>
          <w:sz w:val="16"/>
        </w:rPr>
      </w:pPr>
      <w:r>
        <w:rPr/>
        <w:drawing>
          <wp:anchor distT="0" distB="0" distL="0" distR="0" allowOverlap="1" layoutInCell="1" locked="0" behindDoc="0" simplePos="0" relativeHeight="9">
            <wp:simplePos x="0" y="0"/>
            <wp:positionH relativeFrom="page">
              <wp:posOffset>2636520</wp:posOffset>
            </wp:positionH>
            <wp:positionV relativeFrom="paragraph">
              <wp:posOffset>142977</wp:posOffset>
            </wp:positionV>
            <wp:extent cx="2780032" cy="3328415"/>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8" cstate="print"/>
                    <a:stretch>
                      <a:fillRect/>
                    </a:stretch>
                  </pic:blipFill>
                  <pic:spPr>
                    <a:xfrm>
                      <a:off x="0" y="0"/>
                      <a:ext cx="2780032" cy="3328415"/>
                    </a:xfrm>
                    <a:prstGeom prst="rect">
                      <a:avLst/>
                    </a:prstGeom>
                  </pic:spPr>
                </pic:pic>
              </a:graphicData>
            </a:graphic>
          </wp:anchor>
        </w:drawing>
      </w:r>
    </w:p>
    <w:p>
      <w:pPr>
        <w:pStyle w:val="BodyText"/>
        <w:rPr>
          <w:sz w:val="20"/>
        </w:rPr>
      </w:pPr>
    </w:p>
    <w:p>
      <w:pPr>
        <w:pStyle w:val="BodyText"/>
        <w:spacing w:before="9"/>
        <w:rPr>
          <w:sz w:val="22"/>
        </w:rPr>
      </w:pPr>
    </w:p>
    <w:p>
      <w:pPr>
        <w:spacing w:before="94"/>
        <w:ind w:left="674" w:right="0" w:firstLine="0"/>
        <w:jc w:val="left"/>
        <w:rPr>
          <w:b/>
          <w:sz w:val="18"/>
        </w:rPr>
      </w:pPr>
      <w:r>
        <w:rPr>
          <w:b/>
          <w:sz w:val="18"/>
        </w:rPr>
        <w:t>FIG. 9. a) Curvas de compresión esfuerzo-deformación, típicas de las espumas sintácticas de Al-</w:t>
      </w:r>
    </w:p>
    <w:p>
      <w:pPr>
        <w:spacing w:after="0"/>
        <w:jc w:val="left"/>
        <w:rPr>
          <w:sz w:val="18"/>
        </w:rPr>
        <w:sectPr>
          <w:pgSz w:w="12240" w:h="15840"/>
          <w:pgMar w:header="0" w:footer="1869" w:top="1500" w:bottom="2060" w:left="1520" w:right="940"/>
        </w:sectPr>
      </w:pPr>
    </w:p>
    <w:p>
      <w:pPr>
        <w:spacing w:line="256" w:lineRule="auto" w:before="75"/>
        <w:ind w:left="674" w:right="512" w:firstLine="0"/>
        <w:jc w:val="left"/>
        <w:rPr>
          <w:b/>
          <w:sz w:val="18"/>
        </w:rPr>
      </w:pPr>
      <w:r>
        <w:rPr>
          <w:b/>
          <w:sz w:val="18"/>
        </w:rPr>
        <w:t>A206/SiC y Mg-AZ91/SiC. b) especímenes fracturados ensayados en compresión para velocidades de deformación cuasi-estáticas las cuales se muestran antes del ensayo (lado</w:t>
      </w:r>
    </w:p>
    <w:p>
      <w:pPr>
        <w:spacing w:before="162"/>
        <w:ind w:left="674" w:right="0" w:firstLine="0"/>
        <w:jc w:val="left"/>
        <w:rPr>
          <w:b/>
          <w:sz w:val="18"/>
        </w:rPr>
      </w:pPr>
      <w:r>
        <w:rPr>
          <w:b/>
          <w:sz w:val="18"/>
        </w:rPr>
        <w:t>izquierdo)</w:t>
      </w:r>
      <w:r>
        <w:rPr>
          <w:b/>
          <w:spacing w:val="-10"/>
          <w:sz w:val="18"/>
        </w:rPr>
        <w:t> </w:t>
      </w:r>
      <w:r>
        <w:rPr>
          <w:b/>
          <w:sz w:val="18"/>
        </w:rPr>
        <w:t>y</w:t>
      </w:r>
      <w:r>
        <w:rPr>
          <w:b/>
          <w:spacing w:val="-24"/>
          <w:sz w:val="18"/>
        </w:rPr>
        <w:t> </w:t>
      </w:r>
      <w:r>
        <w:rPr>
          <w:b/>
          <w:sz w:val="18"/>
        </w:rPr>
        <w:t>después</w:t>
      </w:r>
      <w:r>
        <w:rPr>
          <w:b/>
          <w:spacing w:val="-12"/>
          <w:sz w:val="18"/>
        </w:rPr>
        <w:t> </w:t>
      </w:r>
      <w:r>
        <w:rPr>
          <w:b/>
          <w:sz w:val="18"/>
        </w:rPr>
        <w:t>de</w:t>
      </w:r>
      <w:r>
        <w:rPr>
          <w:b/>
          <w:spacing w:val="-14"/>
          <w:sz w:val="18"/>
        </w:rPr>
        <w:t> </w:t>
      </w:r>
      <w:r>
        <w:rPr>
          <w:b/>
          <w:sz w:val="18"/>
        </w:rPr>
        <w:t>la</w:t>
      </w:r>
      <w:r>
        <w:rPr>
          <w:b/>
          <w:spacing w:val="-15"/>
          <w:sz w:val="18"/>
        </w:rPr>
        <w:t> </w:t>
      </w:r>
      <w:r>
        <w:rPr>
          <w:b/>
          <w:sz w:val="18"/>
        </w:rPr>
        <w:t>prueba</w:t>
      </w:r>
      <w:r>
        <w:rPr>
          <w:b/>
          <w:spacing w:val="-13"/>
          <w:sz w:val="18"/>
        </w:rPr>
        <w:t> </w:t>
      </w:r>
      <w:r>
        <w:rPr>
          <w:b/>
          <w:sz w:val="18"/>
        </w:rPr>
        <w:t>(lado</w:t>
      </w:r>
      <w:r>
        <w:rPr>
          <w:b/>
          <w:spacing w:val="-16"/>
          <w:sz w:val="18"/>
        </w:rPr>
        <w:t> </w:t>
      </w:r>
      <w:r>
        <w:rPr>
          <w:b/>
          <w:sz w:val="18"/>
        </w:rPr>
        <w:t>derecho).</w:t>
      </w:r>
      <w:r>
        <w:rPr>
          <w:b/>
          <w:spacing w:val="-16"/>
          <w:sz w:val="18"/>
        </w:rPr>
        <w:t> </w:t>
      </w:r>
      <w:r>
        <w:rPr>
          <w:b/>
          <w:sz w:val="18"/>
        </w:rPr>
        <w:t>Los</w:t>
      </w:r>
      <w:r>
        <w:rPr>
          <w:b/>
          <w:spacing w:val="-13"/>
          <w:sz w:val="18"/>
        </w:rPr>
        <w:t> </w:t>
      </w:r>
      <w:r>
        <w:rPr>
          <w:b/>
          <w:sz w:val="18"/>
        </w:rPr>
        <w:t>dos</w:t>
      </w:r>
      <w:r>
        <w:rPr>
          <w:b/>
          <w:spacing w:val="-16"/>
          <w:sz w:val="18"/>
        </w:rPr>
        <w:t> </w:t>
      </w:r>
      <w:r>
        <w:rPr>
          <w:b/>
          <w:sz w:val="18"/>
        </w:rPr>
        <w:t>especímenes</w:t>
      </w:r>
      <w:r>
        <w:rPr>
          <w:b/>
          <w:spacing w:val="-15"/>
          <w:sz w:val="18"/>
        </w:rPr>
        <w:t> </w:t>
      </w:r>
      <w:r>
        <w:rPr>
          <w:b/>
          <w:sz w:val="18"/>
        </w:rPr>
        <w:t>de</w:t>
      </w:r>
      <w:r>
        <w:rPr>
          <w:b/>
          <w:spacing w:val="-13"/>
          <w:sz w:val="18"/>
        </w:rPr>
        <w:t> </w:t>
      </w:r>
      <w:r>
        <w:rPr>
          <w:b/>
          <w:spacing w:val="-3"/>
          <w:sz w:val="18"/>
        </w:rPr>
        <w:t>la</w:t>
      </w:r>
      <w:r>
        <w:rPr>
          <w:b/>
          <w:spacing w:val="-14"/>
          <w:sz w:val="18"/>
        </w:rPr>
        <w:t> </w:t>
      </w:r>
      <w:r>
        <w:rPr>
          <w:b/>
          <w:sz w:val="18"/>
        </w:rPr>
        <w:t>parte</w:t>
      </w:r>
      <w:r>
        <w:rPr>
          <w:b/>
          <w:spacing w:val="-18"/>
          <w:sz w:val="18"/>
        </w:rPr>
        <w:t> </w:t>
      </w:r>
      <w:r>
        <w:rPr>
          <w:b/>
          <w:sz w:val="18"/>
        </w:rPr>
        <w:t>superior</w:t>
      </w:r>
      <w:r>
        <w:rPr>
          <w:b/>
          <w:spacing w:val="-13"/>
          <w:sz w:val="18"/>
        </w:rPr>
        <w:t> </w:t>
      </w:r>
      <w:r>
        <w:rPr>
          <w:b/>
          <w:sz w:val="18"/>
        </w:rPr>
        <w:t>son</w:t>
      </w:r>
      <w:r>
        <w:rPr>
          <w:b/>
          <w:spacing w:val="-13"/>
          <w:sz w:val="18"/>
        </w:rPr>
        <w:t> </w:t>
      </w:r>
      <w:r>
        <w:rPr>
          <w:b/>
          <w:sz w:val="18"/>
        </w:rPr>
        <w:t>espumas sintácticas de Al-A206/SiC </w:t>
      </w:r>
      <w:r>
        <w:rPr>
          <w:b/>
          <w:spacing w:val="-3"/>
          <w:sz w:val="18"/>
        </w:rPr>
        <w:t>en </w:t>
      </w:r>
      <w:r>
        <w:rPr>
          <w:b/>
          <w:sz w:val="18"/>
        </w:rPr>
        <w:t>tanto que los dos inferiores son espumas sintácticas de</w:t>
      </w:r>
      <w:r>
        <w:rPr>
          <w:b/>
          <w:spacing w:val="-30"/>
          <w:sz w:val="18"/>
        </w:rPr>
        <w:t> </w:t>
      </w:r>
      <w:r>
        <w:rPr>
          <w:b/>
          <w:sz w:val="18"/>
        </w:rPr>
        <w:t>Mg-AZ91/SiC.</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9"/>
        </w:rPr>
      </w:pPr>
    </w:p>
    <w:p>
      <w:pPr>
        <w:pStyle w:val="BodyText"/>
        <w:spacing w:line="360" w:lineRule="auto"/>
        <w:ind w:left="755" w:right="785" w:firstLine="336"/>
        <w:jc w:val="both"/>
      </w:pPr>
      <w:r>
        <w:rPr/>
        <w:t>Para la cuantificación de la linealidad de estas relaciones, se efectuó un análisis de regresión lineal aplicado a las tres variables en estudio. </w:t>
      </w:r>
      <w:r>
        <w:rPr>
          <w:spacing w:val="-3"/>
        </w:rPr>
        <w:t>Se </w:t>
      </w:r>
      <w:r>
        <w:rPr/>
        <w:t>promedió</w:t>
      </w:r>
      <w:r>
        <w:rPr>
          <w:spacing w:val="-14"/>
        </w:rPr>
        <w:t> </w:t>
      </w:r>
      <w:r>
        <w:rPr/>
        <w:t>los</w:t>
      </w:r>
      <w:r>
        <w:rPr>
          <w:spacing w:val="-16"/>
        </w:rPr>
        <w:t> </w:t>
      </w:r>
      <w:r>
        <w:rPr/>
        <w:t>valores</w:t>
      </w:r>
      <w:r>
        <w:rPr>
          <w:spacing w:val="-14"/>
        </w:rPr>
        <w:t> </w:t>
      </w:r>
      <w:r>
        <w:rPr/>
        <w:t>individuales</w:t>
      </w:r>
      <w:r>
        <w:rPr>
          <w:spacing w:val="-11"/>
        </w:rPr>
        <w:t> </w:t>
      </w:r>
      <w:r>
        <w:rPr/>
        <w:t>obtenidos</w:t>
      </w:r>
      <w:r>
        <w:rPr>
          <w:spacing w:val="-16"/>
        </w:rPr>
        <w:t> </w:t>
      </w:r>
      <w:r>
        <w:rPr/>
        <w:t>en</w:t>
      </w:r>
      <w:r>
        <w:rPr>
          <w:spacing w:val="-14"/>
        </w:rPr>
        <w:t> </w:t>
      </w:r>
      <w:r>
        <w:rPr/>
        <w:t>cada</w:t>
      </w:r>
      <w:r>
        <w:rPr>
          <w:spacing w:val="-17"/>
        </w:rPr>
        <w:t> </w:t>
      </w:r>
      <w:r>
        <w:rPr/>
        <w:t>ensayo</w:t>
      </w:r>
      <w:r>
        <w:rPr>
          <w:spacing w:val="-14"/>
        </w:rPr>
        <w:t> </w:t>
      </w:r>
      <w:r>
        <w:rPr/>
        <w:t>experimental</w:t>
      </w:r>
      <w:r>
        <w:rPr>
          <w:spacing w:val="-15"/>
        </w:rPr>
        <w:t> </w:t>
      </w:r>
      <w:r>
        <w:rPr/>
        <w:t>y</w:t>
      </w:r>
      <w:r>
        <w:rPr>
          <w:spacing w:val="-16"/>
        </w:rPr>
        <w:t> </w:t>
      </w:r>
      <w:r>
        <w:rPr/>
        <w:t>se determinó</w:t>
      </w:r>
      <w:r>
        <w:rPr>
          <w:spacing w:val="-21"/>
        </w:rPr>
        <w:t> </w:t>
      </w:r>
      <w:r>
        <w:rPr/>
        <w:t>el</w:t>
      </w:r>
      <w:r>
        <w:rPr>
          <w:spacing w:val="-20"/>
        </w:rPr>
        <w:t> </w:t>
      </w:r>
      <w:r>
        <w:rPr/>
        <w:t>coeficiente</w:t>
      </w:r>
      <w:r>
        <w:rPr>
          <w:spacing w:val="-20"/>
        </w:rPr>
        <w:t> </w:t>
      </w:r>
      <w:r>
        <w:rPr/>
        <w:t>de</w:t>
      </w:r>
      <w:r>
        <w:rPr>
          <w:spacing w:val="-21"/>
        </w:rPr>
        <w:t> </w:t>
      </w:r>
      <w:r>
        <w:rPr/>
        <w:t>regresión</w:t>
      </w:r>
      <w:r>
        <w:rPr>
          <w:spacing w:val="-20"/>
        </w:rPr>
        <w:t> </w:t>
      </w:r>
      <w:r>
        <w:rPr/>
        <w:t>lineal</w:t>
      </w:r>
      <w:r>
        <w:rPr>
          <w:spacing w:val="-21"/>
        </w:rPr>
        <w:t> </w:t>
      </w:r>
      <w:r>
        <w:rPr/>
        <w:t>utilizando</w:t>
      </w:r>
      <w:r>
        <w:rPr>
          <w:spacing w:val="-18"/>
        </w:rPr>
        <w:t> </w:t>
      </w:r>
      <w:r>
        <w:rPr/>
        <w:t>las</w:t>
      </w:r>
      <w:r>
        <w:rPr>
          <w:spacing w:val="-24"/>
        </w:rPr>
        <w:t> </w:t>
      </w:r>
      <w:r>
        <w:rPr/>
        <w:t>funciones</w:t>
      </w:r>
      <w:r>
        <w:rPr>
          <w:spacing w:val="-20"/>
        </w:rPr>
        <w:t> </w:t>
      </w:r>
      <w:r>
        <w:rPr/>
        <w:t>de</w:t>
      </w:r>
      <w:r>
        <w:rPr>
          <w:spacing w:val="-20"/>
        </w:rPr>
        <w:t> </w:t>
      </w:r>
      <w:r>
        <w:rPr/>
        <w:t>una</w:t>
      </w:r>
      <w:r>
        <w:rPr>
          <w:spacing w:val="-22"/>
        </w:rPr>
        <w:t> </w:t>
      </w:r>
      <w:r>
        <w:rPr/>
        <w:t>hoja de</w:t>
      </w:r>
      <w:r>
        <w:rPr>
          <w:spacing w:val="-8"/>
        </w:rPr>
        <w:t> </w:t>
      </w:r>
      <w:r>
        <w:rPr/>
        <w:t>cálculo</w:t>
      </w:r>
      <w:r>
        <w:rPr>
          <w:spacing w:val="-5"/>
        </w:rPr>
        <w:t> </w:t>
      </w:r>
      <w:r>
        <w:rPr/>
        <w:t>de</w:t>
      </w:r>
      <w:r>
        <w:rPr>
          <w:spacing w:val="-5"/>
        </w:rPr>
        <w:t> </w:t>
      </w:r>
      <w:r>
        <w:rPr/>
        <w:t>Excel®,</w:t>
      </w:r>
      <w:r>
        <w:rPr>
          <w:spacing w:val="-9"/>
        </w:rPr>
        <w:t> </w:t>
      </w:r>
      <w:r>
        <w:rPr/>
        <w:t>siendo</w:t>
      </w:r>
      <w:r>
        <w:rPr>
          <w:spacing w:val="-7"/>
        </w:rPr>
        <w:t> </w:t>
      </w:r>
      <w:r>
        <w:rPr/>
        <w:t>la</w:t>
      </w:r>
      <w:r>
        <w:rPr>
          <w:spacing w:val="-9"/>
        </w:rPr>
        <w:t> </w:t>
      </w:r>
      <w:r>
        <w:rPr/>
        <w:t>variable</w:t>
      </w:r>
      <w:r>
        <w:rPr>
          <w:spacing w:val="-9"/>
        </w:rPr>
        <w:t> </w:t>
      </w:r>
      <w:r>
        <w:rPr/>
        <w:t>independiente</w:t>
      </w:r>
      <w:r>
        <w:rPr>
          <w:spacing w:val="-6"/>
        </w:rPr>
        <w:t> </w:t>
      </w:r>
      <w:r>
        <w:rPr/>
        <w:t>el</w:t>
      </w:r>
      <w:r>
        <w:rPr>
          <w:spacing w:val="-11"/>
        </w:rPr>
        <w:t> </w:t>
      </w:r>
      <w:r>
        <w:rPr/>
        <w:t>esfuerzo</w:t>
      </w:r>
      <w:r>
        <w:rPr>
          <w:spacing w:val="-6"/>
        </w:rPr>
        <w:t> </w:t>
      </w:r>
      <w:r>
        <w:rPr/>
        <w:t>de</w:t>
      </w:r>
      <w:r>
        <w:rPr>
          <w:spacing w:val="-10"/>
        </w:rPr>
        <w:t> </w:t>
      </w:r>
      <w:r>
        <w:rPr/>
        <w:t>fluencia de la matriz metálica y las variables dependientes el máximo esfuerzo a la compresión, el esfuerzo en absorción, y la tenacidad de las espumas sintácticas sintetizadas en el presente</w:t>
      </w:r>
      <w:r>
        <w:rPr>
          <w:spacing w:val="-13"/>
        </w:rPr>
        <w:t> </w:t>
      </w:r>
      <w:r>
        <w:rPr/>
        <w:t>estudio.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6"/>
        </w:rPr>
      </w:pPr>
    </w:p>
    <w:p>
      <w:pPr>
        <w:spacing w:before="0" w:after="8"/>
        <w:ind w:left="755" w:right="1079" w:firstLine="0"/>
        <w:jc w:val="left"/>
        <w:rPr>
          <w:b/>
          <w:sz w:val="18"/>
        </w:rPr>
      </w:pPr>
      <w:r>
        <w:rPr>
          <w:b/>
          <w:sz w:val="18"/>
        </w:rPr>
        <w:t>TABLA IV. Resumen de los datos obtenidos en los ensayos de compresión bajo condiciones cuasi-estáticas para las espumas sintácticas de Al-A206/SiC y Mg-AZ91/SiC</w:t>
      </w:r>
    </w:p>
    <w:p>
      <w:pPr>
        <w:pStyle w:val="BodyText"/>
        <w:spacing w:line="32" w:lineRule="exact"/>
        <w:ind w:left="97"/>
        <w:rPr>
          <w:sz w:val="3"/>
        </w:rPr>
      </w:pPr>
      <w:r>
        <w:rPr>
          <w:position w:val="0"/>
          <w:sz w:val="3"/>
        </w:rPr>
        <w:pict>
          <v:group style="width:477.75pt;height:1.6pt;mso-position-horizontal-relative:char;mso-position-vertical-relative:line" coordorigin="0,0" coordsize="9555,32">
            <v:line style="position:absolute" from="0,16" to="1308,16" stroked="true" strokeweight="1.56pt" strokecolor="#000000">
              <v:stroke dashstyle="solid"/>
            </v:line>
            <v:line style="position:absolute" from="1308,16" to="1337,16" stroked="true" strokeweight="1.56pt" strokecolor="#000000">
              <v:stroke dashstyle="solid"/>
            </v:line>
            <v:line style="position:absolute" from="1337,16" to="2426,16" stroked="true" strokeweight="1.56pt" strokecolor="#000000">
              <v:stroke dashstyle="solid"/>
            </v:line>
            <v:line style="position:absolute" from="2426,16" to="2455,16" stroked="true" strokeweight="1.56pt" strokecolor="#000000">
              <v:stroke dashstyle="solid"/>
            </v:line>
            <v:line style="position:absolute" from="2455,16" to="3451,16" stroked="true" strokeweight="1.56pt" strokecolor="#000000">
              <v:stroke dashstyle="solid"/>
            </v:line>
            <v:line style="position:absolute" from="3451,16" to="3480,16" stroked="true" strokeweight="1.56pt" strokecolor="#000000">
              <v:stroke dashstyle="solid"/>
            </v:line>
            <v:line style="position:absolute" from="3480,16" to="4747,16" stroked="true" strokeweight="1.56pt" strokecolor="#000000">
              <v:stroke dashstyle="solid"/>
            </v:line>
            <v:line style="position:absolute" from="4747,16" to="4776,16" stroked="true" strokeweight="1.56pt" strokecolor="#000000">
              <v:stroke dashstyle="solid"/>
            </v:line>
            <v:line style="position:absolute" from="4776,16" to="5854,16" stroked="true" strokeweight="1.56pt" strokecolor="#000000">
              <v:stroke dashstyle="solid"/>
            </v:line>
            <v:line style="position:absolute" from="5854,16" to="5881,16" stroked="true" strokeweight="1.56pt" strokecolor="#000000">
              <v:stroke dashstyle="solid"/>
            </v:line>
            <v:line style="position:absolute" from="5880,16" to="7059,16" stroked="true" strokeweight="1.56pt" strokecolor="#000000">
              <v:stroke dashstyle="solid"/>
            </v:line>
            <v:line style="position:absolute" from="7061,16" to="7090,16" stroked="true" strokeweight="1.56pt" strokecolor="#000000">
              <v:stroke dashstyle="solid"/>
            </v:line>
            <v:line style="position:absolute" from="7090,16" to="8494,16" stroked="true" strokeweight="1.56pt" strokecolor="#000000">
              <v:stroke dashstyle="solid"/>
            </v:line>
            <v:line style="position:absolute" from="8494,16" to="8522,16" stroked="true" strokeweight="1.56pt" strokecolor="#000000">
              <v:stroke dashstyle="solid"/>
            </v:line>
            <v:line style="position:absolute" from="8522,16" to="9554,16" stroked="true" strokeweight="1.56pt" strokecolor="#000000">
              <v:stroke dashstyle="solid"/>
            </v:line>
          </v:group>
        </w:pict>
      </w:r>
      <w:r>
        <w:rPr>
          <w:position w:val="0"/>
          <w:sz w:val="3"/>
        </w:rPr>
      </w:r>
    </w:p>
    <w:p>
      <w:pPr>
        <w:pStyle w:val="BodyText"/>
        <w:rPr>
          <w:b/>
          <w:sz w:val="20"/>
        </w:rPr>
      </w:pPr>
    </w:p>
    <w:p>
      <w:pPr>
        <w:spacing w:after="0"/>
        <w:rPr>
          <w:sz w:val="20"/>
        </w:rPr>
        <w:sectPr>
          <w:pgSz w:w="12240" w:h="15840"/>
          <w:pgMar w:header="0" w:footer="1869" w:top="1400" w:bottom="2060" w:left="1520" w:right="940"/>
        </w:sectPr>
      </w:pPr>
    </w:p>
    <w:p>
      <w:pPr>
        <w:pStyle w:val="BodyText"/>
        <w:rPr>
          <w:b/>
          <w:sz w:val="22"/>
        </w:rPr>
      </w:pPr>
    </w:p>
    <w:p>
      <w:pPr>
        <w:pStyle w:val="BodyText"/>
        <w:rPr>
          <w:b/>
          <w:sz w:val="22"/>
        </w:rPr>
      </w:pPr>
    </w:p>
    <w:p>
      <w:pPr>
        <w:pStyle w:val="BodyText"/>
        <w:rPr>
          <w:b/>
          <w:sz w:val="22"/>
        </w:rPr>
      </w:pPr>
    </w:p>
    <w:p>
      <w:pPr>
        <w:pStyle w:val="BodyText"/>
        <w:spacing w:before="2"/>
        <w:rPr>
          <w:b/>
        </w:rPr>
      </w:pPr>
    </w:p>
    <w:p>
      <w:pPr>
        <w:spacing w:before="1"/>
        <w:ind w:left="220" w:right="0" w:firstLine="0"/>
        <w:jc w:val="left"/>
        <w:rPr>
          <w:sz w:val="20"/>
        </w:rPr>
      </w:pPr>
      <w:r>
        <w:rPr>
          <w:sz w:val="20"/>
        </w:rPr>
        <w:t>Matriz</w:t>
      </w:r>
    </w:p>
    <w:p>
      <w:pPr>
        <w:pStyle w:val="BodyText"/>
        <w:rPr>
          <w:sz w:val="22"/>
        </w:rPr>
      </w:pPr>
      <w:r>
        <w:rPr/>
        <w:br w:type="column"/>
      </w:r>
      <w:r>
        <w:rPr>
          <w:sz w:val="22"/>
        </w:rPr>
      </w:r>
    </w:p>
    <w:p>
      <w:pPr>
        <w:pStyle w:val="BodyText"/>
        <w:rPr>
          <w:sz w:val="22"/>
        </w:rPr>
      </w:pPr>
    </w:p>
    <w:p>
      <w:pPr>
        <w:pStyle w:val="BodyText"/>
        <w:rPr>
          <w:sz w:val="22"/>
        </w:rPr>
      </w:pPr>
    </w:p>
    <w:p>
      <w:pPr>
        <w:spacing w:before="187"/>
        <w:ind w:left="220" w:right="0" w:firstLine="0"/>
        <w:jc w:val="left"/>
        <w:rPr>
          <w:sz w:val="20"/>
        </w:rPr>
      </w:pPr>
      <w:r>
        <w:rPr>
          <w:w w:val="95"/>
          <w:sz w:val="20"/>
        </w:rPr>
        <w:t>Condición</w:t>
      </w:r>
    </w:p>
    <w:p>
      <w:pPr>
        <w:pStyle w:val="BodyText"/>
        <w:spacing w:before="7"/>
        <w:rPr>
          <w:sz w:val="22"/>
        </w:rPr>
      </w:pPr>
      <w:r>
        <w:rPr/>
        <w:br w:type="column"/>
      </w:r>
      <w:r>
        <w:rPr>
          <w:sz w:val="22"/>
        </w:rPr>
      </w:r>
    </w:p>
    <w:p>
      <w:pPr>
        <w:spacing w:line="240" w:lineRule="auto" w:before="0"/>
        <w:ind w:left="220" w:right="0" w:hanging="2"/>
        <w:jc w:val="center"/>
        <w:rPr>
          <w:sz w:val="20"/>
        </w:rPr>
      </w:pPr>
      <w:r>
        <w:rPr>
          <w:w w:val="90"/>
          <w:sz w:val="20"/>
        </w:rPr>
        <w:t>Esfuerzo </w:t>
      </w:r>
      <w:r>
        <w:rPr>
          <w:sz w:val="20"/>
        </w:rPr>
        <w:t>en </w:t>
      </w:r>
      <w:r>
        <w:rPr>
          <w:spacing w:val="-1"/>
          <w:sz w:val="20"/>
        </w:rPr>
        <w:t>Fluencia </w:t>
      </w:r>
      <w:r>
        <w:rPr>
          <w:sz w:val="20"/>
        </w:rPr>
        <w:t>(MPa)</w:t>
      </w:r>
    </w:p>
    <w:p>
      <w:pPr>
        <w:pStyle w:val="BodyText"/>
        <w:spacing w:before="7"/>
        <w:rPr>
          <w:sz w:val="22"/>
        </w:rPr>
      </w:pPr>
      <w:r>
        <w:rPr/>
        <w:br w:type="column"/>
      </w:r>
      <w:r>
        <w:rPr>
          <w:sz w:val="22"/>
        </w:rPr>
      </w:r>
    </w:p>
    <w:p>
      <w:pPr>
        <w:spacing w:line="240" w:lineRule="auto" w:before="0"/>
        <w:ind w:left="220" w:right="0" w:firstLine="2"/>
        <w:jc w:val="center"/>
        <w:rPr>
          <w:sz w:val="20"/>
        </w:rPr>
      </w:pPr>
      <w:r>
        <w:rPr>
          <w:sz w:val="20"/>
        </w:rPr>
        <w:t>Esfuerzo máximo en </w:t>
      </w:r>
      <w:r>
        <w:rPr>
          <w:w w:val="90"/>
          <w:sz w:val="20"/>
        </w:rPr>
        <w:t>Compresión </w:t>
      </w:r>
      <w:r>
        <w:rPr>
          <w:sz w:val="20"/>
        </w:rPr>
        <w:t>(MPa)</w:t>
      </w:r>
    </w:p>
    <w:p>
      <w:pPr>
        <w:pStyle w:val="BodyText"/>
        <w:spacing w:before="7"/>
        <w:rPr>
          <w:sz w:val="22"/>
        </w:rPr>
      </w:pPr>
      <w:r>
        <w:rPr/>
        <w:br w:type="column"/>
      </w:r>
      <w:r>
        <w:rPr>
          <w:sz w:val="22"/>
        </w:rPr>
      </w:r>
    </w:p>
    <w:p>
      <w:pPr>
        <w:spacing w:line="240" w:lineRule="auto" w:before="0"/>
        <w:ind w:left="220" w:right="0" w:hanging="3"/>
        <w:jc w:val="center"/>
        <w:rPr>
          <w:sz w:val="20"/>
        </w:rPr>
      </w:pPr>
      <w:r>
        <w:rPr>
          <w:sz w:val="20"/>
        </w:rPr>
        <w:t>Esfuerzo en  </w:t>
      </w:r>
      <w:r>
        <w:rPr>
          <w:w w:val="90"/>
          <w:sz w:val="20"/>
        </w:rPr>
        <w:t>Absorción </w:t>
      </w:r>
      <w:r>
        <w:rPr>
          <w:sz w:val="20"/>
        </w:rPr>
        <w:t>(MPa)</w:t>
      </w:r>
    </w:p>
    <w:p>
      <w:pPr>
        <w:pStyle w:val="BodyText"/>
        <w:rPr>
          <w:sz w:val="26"/>
        </w:rPr>
      </w:pPr>
      <w:r>
        <w:rPr/>
        <w:br w:type="column"/>
      </w:r>
      <w:r>
        <w:rPr>
          <w:sz w:val="26"/>
        </w:rPr>
      </w:r>
    </w:p>
    <w:p>
      <w:pPr>
        <w:pStyle w:val="BodyText"/>
        <w:spacing w:before="10"/>
        <w:rPr>
          <w:sz w:val="32"/>
        </w:rPr>
      </w:pPr>
    </w:p>
    <w:p>
      <w:pPr>
        <w:spacing w:line="242" w:lineRule="auto" w:before="1"/>
        <w:ind w:left="199" w:right="21" w:firstLine="0"/>
        <w:jc w:val="left"/>
        <w:rPr>
          <w:sz w:val="20"/>
        </w:rPr>
      </w:pPr>
      <w:r>
        <w:rPr>
          <w:w w:val="95"/>
          <w:sz w:val="20"/>
        </w:rPr>
        <w:t>Tenacidad </w:t>
      </w:r>
      <w:r>
        <w:rPr>
          <w:sz w:val="20"/>
        </w:rPr>
        <w:t>(J/cm</w:t>
      </w:r>
      <w:r>
        <w:rPr>
          <w:sz w:val="20"/>
          <w:vertAlign w:val="superscript"/>
        </w:rPr>
        <w:t>3</w:t>
      </w:r>
      <w:r>
        <w:rPr>
          <w:sz w:val="20"/>
          <w:vertAlign w:val="baseline"/>
        </w:rPr>
        <w:t>)</w:t>
      </w:r>
    </w:p>
    <w:p>
      <w:pPr>
        <w:pStyle w:val="BodyText"/>
        <w:spacing w:before="7"/>
        <w:rPr>
          <w:sz w:val="22"/>
        </w:rPr>
      </w:pPr>
      <w:r>
        <w:rPr/>
        <w:br w:type="column"/>
      </w:r>
      <w:r>
        <w:rPr>
          <w:sz w:val="22"/>
        </w:rPr>
      </w:r>
    </w:p>
    <w:p>
      <w:pPr>
        <w:spacing w:line="240" w:lineRule="auto" w:before="0"/>
        <w:ind w:left="229" w:right="9" w:firstLine="0"/>
        <w:jc w:val="center"/>
        <w:rPr>
          <w:sz w:val="20"/>
        </w:rPr>
      </w:pPr>
      <w:r>
        <w:rPr>
          <w:w w:val="95"/>
          <w:sz w:val="20"/>
        </w:rPr>
        <w:t>Deformación </w:t>
      </w:r>
      <w:r>
        <w:rPr>
          <w:sz w:val="20"/>
        </w:rPr>
        <w:t>de     </w:t>
      </w:r>
      <w:r>
        <w:rPr>
          <w:w w:val="90"/>
          <w:sz w:val="20"/>
        </w:rPr>
        <w:t>Densificación </w:t>
      </w:r>
      <w:r>
        <w:rPr>
          <w:sz w:val="20"/>
        </w:rPr>
        <w:t>(%)</w:t>
      </w:r>
    </w:p>
    <w:p>
      <w:pPr>
        <w:pStyle w:val="BodyText"/>
        <w:rPr>
          <w:sz w:val="26"/>
        </w:rPr>
      </w:pPr>
      <w:r>
        <w:rPr/>
        <w:br w:type="column"/>
      </w:r>
      <w:r>
        <w:rPr>
          <w:sz w:val="26"/>
        </w:rPr>
      </w:r>
    </w:p>
    <w:p>
      <w:pPr>
        <w:pStyle w:val="BodyText"/>
        <w:spacing w:before="10"/>
        <w:rPr>
          <w:sz w:val="32"/>
        </w:rPr>
      </w:pPr>
    </w:p>
    <w:p>
      <w:pPr>
        <w:spacing w:line="242" w:lineRule="auto" w:before="1"/>
        <w:ind w:left="219" w:right="241" w:firstLine="0"/>
        <w:jc w:val="left"/>
        <w:rPr>
          <w:sz w:val="20"/>
        </w:rPr>
      </w:pPr>
      <w:r>
        <w:rPr>
          <w:w w:val="95"/>
          <w:sz w:val="20"/>
        </w:rPr>
        <w:t>Densidad </w:t>
      </w:r>
      <w:r>
        <w:rPr>
          <w:sz w:val="20"/>
        </w:rPr>
        <w:t>(g/cm</w:t>
      </w:r>
      <w:r>
        <w:rPr>
          <w:sz w:val="20"/>
          <w:vertAlign w:val="superscript"/>
        </w:rPr>
        <w:t>3</w:t>
      </w:r>
      <w:r>
        <w:rPr>
          <w:sz w:val="20"/>
          <w:vertAlign w:val="baseline"/>
        </w:rPr>
        <w:t>)</w:t>
      </w:r>
    </w:p>
    <w:p>
      <w:pPr>
        <w:spacing w:after="0" w:line="242" w:lineRule="auto"/>
        <w:jc w:val="left"/>
        <w:rPr>
          <w:sz w:val="20"/>
        </w:rPr>
        <w:sectPr>
          <w:type w:val="continuous"/>
          <w:pgSz w:w="12240" w:h="15840"/>
          <w:pgMar w:top="1480" w:bottom="2060" w:left="1520" w:right="940"/>
          <w:cols w:num="8" w:equalWidth="0">
            <w:col w:w="805" w:space="503"/>
            <w:col w:w="1106" w:space="42"/>
            <w:col w:w="975" w:space="45"/>
            <w:col w:w="1248" w:space="45"/>
            <w:col w:w="1066" w:space="40"/>
            <w:col w:w="1128" w:space="97"/>
            <w:col w:w="1357" w:space="40"/>
            <w:col w:w="1283"/>
          </w:cols>
        </w:sectPr>
      </w:pPr>
    </w:p>
    <w:p>
      <w:pPr>
        <w:pStyle w:val="BodyText"/>
        <w:rPr>
          <w:sz w:val="20"/>
        </w:rPr>
      </w:pPr>
    </w:p>
    <w:p>
      <w:pPr>
        <w:pStyle w:val="BodyText"/>
        <w:rPr>
          <w:sz w:val="20"/>
        </w:rPr>
      </w:pPr>
    </w:p>
    <w:p>
      <w:pPr>
        <w:pStyle w:val="BodyText"/>
        <w:spacing w:before="11"/>
        <w:rPr>
          <w:sz w:val="17"/>
        </w:rPr>
      </w:pPr>
    </w:p>
    <w:p>
      <w:pPr>
        <w:spacing w:after="0"/>
        <w:rPr>
          <w:sz w:val="17"/>
        </w:rPr>
        <w:sectPr>
          <w:type w:val="continuous"/>
          <w:pgSz w:w="12240" w:h="15840"/>
          <w:pgMar w:top="1480" w:bottom="2060" w:left="1520" w:right="940"/>
        </w:sectPr>
      </w:pPr>
    </w:p>
    <w:p>
      <w:pPr>
        <w:pStyle w:val="BodyText"/>
        <w:rPr>
          <w:sz w:val="26"/>
        </w:rPr>
      </w:pPr>
    </w:p>
    <w:p>
      <w:pPr>
        <w:tabs>
          <w:tab w:pos="2913" w:val="left" w:leader="none"/>
        </w:tabs>
        <w:spacing w:before="228"/>
        <w:ind w:left="1528" w:right="0" w:firstLine="0"/>
        <w:jc w:val="left"/>
        <w:rPr>
          <w:sz w:val="20"/>
        </w:rPr>
      </w:pPr>
      <w:r>
        <w:rPr>
          <w:sz w:val="20"/>
        </w:rPr>
        <w:t>Colada</w:t>
        <w:tab/>
      </w:r>
      <w:r>
        <w:rPr>
          <w:spacing w:val="-8"/>
          <w:sz w:val="20"/>
        </w:rPr>
        <w:t>60</w:t>
      </w:r>
      <w:r>
        <w:rPr>
          <w:spacing w:val="-8"/>
          <w:sz w:val="20"/>
          <w:vertAlign w:val="superscript"/>
        </w:rPr>
        <w:t>*</w:t>
      </w:r>
    </w:p>
    <w:p>
      <w:pPr>
        <w:tabs>
          <w:tab w:pos="1993" w:val="left" w:leader="none"/>
          <w:tab w:pos="3149" w:val="left" w:leader="none"/>
          <w:tab w:pos="4465" w:val="left" w:leader="none"/>
          <w:tab w:pos="5720" w:val="left" w:leader="none"/>
        </w:tabs>
        <w:spacing w:before="93"/>
        <w:ind w:left="735" w:right="0" w:firstLine="0"/>
        <w:jc w:val="left"/>
        <w:rPr>
          <w:sz w:val="20"/>
        </w:rPr>
      </w:pPr>
      <w:r>
        <w:rPr/>
        <w:br w:type="column"/>
      </w:r>
      <w:r>
        <w:rPr>
          <w:sz w:val="20"/>
        </w:rPr>
        <w:t>126.8</w:t>
        <w:tab/>
        <w:t>67.5</w:t>
        <w:tab/>
        <w:t>46.1</w:t>
        <w:tab/>
        <w:t>68%</w:t>
        <w:tab/>
        <w:t>1.87</w:t>
      </w:r>
    </w:p>
    <w:p>
      <w:pPr>
        <w:pStyle w:val="BodyText"/>
        <w:rPr>
          <w:sz w:val="22"/>
        </w:rPr>
      </w:pPr>
    </w:p>
    <w:p>
      <w:pPr>
        <w:pStyle w:val="BodyText"/>
        <w:spacing w:before="10"/>
        <w:rPr>
          <w:sz w:val="23"/>
        </w:rPr>
      </w:pPr>
    </w:p>
    <w:p>
      <w:pPr>
        <w:tabs>
          <w:tab w:pos="1993" w:val="left" w:leader="none"/>
          <w:tab w:pos="3149" w:val="left" w:leader="none"/>
          <w:tab w:pos="4465" w:val="left" w:leader="none"/>
          <w:tab w:pos="5720" w:val="left" w:leader="none"/>
        </w:tabs>
        <w:spacing w:before="1"/>
        <w:ind w:left="735" w:right="0" w:firstLine="0"/>
        <w:jc w:val="left"/>
        <w:rPr>
          <w:sz w:val="20"/>
        </w:rPr>
      </w:pPr>
      <w:r>
        <w:rPr/>
        <w:pict>
          <v:line style="position:absolute;mso-position-horizontal-relative:page;mso-position-vertical-relative:paragraph;z-index:251669504" from="81.660004pt,-22.050116pt" to="559.380004pt,-22.050116pt" stroked="true" strokeweight="1.56pt" strokecolor="#000000">
            <v:stroke dashstyle="solid"/>
            <w10:wrap type="none"/>
          </v:line>
        </w:pict>
      </w:r>
      <w:r>
        <w:rPr>
          <w:sz w:val="20"/>
        </w:rPr>
        <w:t>123.6</w:t>
        <w:tab/>
        <w:t>73.3</w:t>
        <w:tab/>
        <w:t>41.6</w:t>
        <w:tab/>
        <w:t>56%</w:t>
        <w:tab/>
        <w:t>1.89</w:t>
      </w:r>
    </w:p>
    <w:p>
      <w:pPr>
        <w:spacing w:after="0"/>
        <w:jc w:val="left"/>
        <w:rPr>
          <w:sz w:val="20"/>
        </w:rPr>
        <w:sectPr>
          <w:type w:val="continuous"/>
          <w:pgSz w:w="12240" w:h="15840"/>
          <w:pgMar w:top="1480" w:bottom="2060" w:left="1520" w:right="940"/>
          <w:cols w:num="2" w:equalWidth="0">
            <w:col w:w="3186" w:space="40"/>
            <w:col w:w="6554"/>
          </w:cols>
        </w:sectPr>
      </w:pPr>
    </w:p>
    <w:p>
      <w:pPr>
        <w:pStyle w:val="BodyText"/>
        <w:spacing w:before="11"/>
        <w:rPr>
          <w:sz w:val="2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6"/>
        <w:gridCol w:w="1208"/>
        <w:gridCol w:w="1208"/>
        <w:gridCol w:w="1290"/>
        <w:gridCol w:w="1154"/>
      </w:tblGrid>
      <w:tr>
        <w:trPr>
          <w:trHeight w:val="332" w:hRule="atLeast"/>
        </w:trPr>
        <w:tc>
          <w:tcPr>
            <w:tcW w:w="4696" w:type="dxa"/>
          </w:tcPr>
          <w:p>
            <w:pPr>
              <w:pStyle w:val="TableParagraph"/>
              <w:spacing w:line="223" w:lineRule="exact"/>
              <w:ind w:right="349"/>
              <w:jc w:val="right"/>
              <w:rPr>
                <w:sz w:val="20"/>
              </w:rPr>
            </w:pPr>
            <w:r>
              <w:rPr>
                <w:sz w:val="20"/>
              </w:rPr>
              <w:t>155.6</w:t>
            </w:r>
          </w:p>
        </w:tc>
        <w:tc>
          <w:tcPr>
            <w:tcW w:w="1208" w:type="dxa"/>
          </w:tcPr>
          <w:p>
            <w:pPr>
              <w:pStyle w:val="TableParagraph"/>
              <w:spacing w:line="223" w:lineRule="exact"/>
              <w:ind w:left="332" w:right="335"/>
              <w:jc w:val="center"/>
              <w:rPr>
                <w:sz w:val="20"/>
              </w:rPr>
            </w:pPr>
            <w:r>
              <w:rPr>
                <w:sz w:val="20"/>
              </w:rPr>
              <w:t>111.7</w:t>
            </w:r>
          </w:p>
        </w:tc>
        <w:tc>
          <w:tcPr>
            <w:tcW w:w="1208" w:type="dxa"/>
          </w:tcPr>
          <w:p>
            <w:pPr>
              <w:pStyle w:val="TableParagraph"/>
              <w:spacing w:line="223" w:lineRule="exact"/>
              <w:ind w:left="355"/>
              <w:rPr>
                <w:sz w:val="20"/>
              </w:rPr>
            </w:pPr>
            <w:r>
              <w:rPr>
                <w:sz w:val="20"/>
              </w:rPr>
              <w:t>60.1</w:t>
            </w:r>
          </w:p>
        </w:tc>
        <w:tc>
          <w:tcPr>
            <w:tcW w:w="1290" w:type="dxa"/>
          </w:tcPr>
          <w:p>
            <w:pPr>
              <w:pStyle w:val="TableParagraph"/>
              <w:spacing w:line="223" w:lineRule="exact"/>
              <w:ind w:right="426"/>
              <w:jc w:val="right"/>
              <w:rPr>
                <w:sz w:val="20"/>
              </w:rPr>
            </w:pPr>
            <w:r>
              <w:rPr>
                <w:w w:val="95"/>
                <w:sz w:val="20"/>
              </w:rPr>
              <w:t>55%</w:t>
            </w:r>
          </w:p>
        </w:tc>
        <w:tc>
          <w:tcPr>
            <w:tcW w:w="1154" w:type="dxa"/>
          </w:tcPr>
          <w:p>
            <w:pPr>
              <w:pStyle w:val="TableParagraph"/>
              <w:spacing w:line="223" w:lineRule="exact"/>
              <w:ind w:right="339"/>
              <w:jc w:val="right"/>
              <w:rPr>
                <w:sz w:val="20"/>
              </w:rPr>
            </w:pPr>
            <w:r>
              <w:rPr>
                <w:w w:val="95"/>
                <w:sz w:val="20"/>
              </w:rPr>
              <w:t>1.91</w:t>
            </w:r>
          </w:p>
        </w:tc>
      </w:tr>
      <w:tr>
        <w:trPr>
          <w:trHeight w:val="921" w:hRule="atLeast"/>
        </w:trPr>
        <w:tc>
          <w:tcPr>
            <w:tcW w:w="4696" w:type="dxa"/>
          </w:tcPr>
          <w:p>
            <w:pPr>
              <w:pStyle w:val="TableParagraph"/>
              <w:spacing w:before="102"/>
              <w:ind w:left="107"/>
              <w:rPr>
                <w:sz w:val="20"/>
              </w:rPr>
            </w:pPr>
            <w:r>
              <w:rPr>
                <w:sz w:val="20"/>
              </w:rPr>
              <w:t>Aluminio</w:t>
            </w:r>
          </w:p>
          <w:p>
            <w:pPr>
              <w:pStyle w:val="TableParagraph"/>
              <w:tabs>
                <w:tab w:pos="1415" w:val="left" w:leader="none"/>
                <w:tab w:pos="2697" w:val="left" w:leader="none"/>
                <w:tab w:pos="4344" w:val="right" w:leader="none"/>
              </w:tabs>
              <w:spacing w:before="90"/>
              <w:ind w:left="107"/>
              <w:rPr>
                <w:sz w:val="20"/>
              </w:rPr>
            </w:pPr>
            <w:r>
              <w:rPr>
                <w:sz w:val="20"/>
              </w:rPr>
              <w:t>Al-A206</w:t>
              <w:tab/>
            </w:r>
            <w:r>
              <w:rPr>
                <w:spacing w:val="2"/>
                <w:position w:val="6"/>
                <w:sz w:val="20"/>
              </w:rPr>
              <w:t>T4</w:t>
              <w:tab/>
            </w:r>
            <w:r>
              <w:rPr>
                <w:position w:val="6"/>
                <w:sz w:val="20"/>
              </w:rPr>
              <w:t>262</w:t>
            </w:r>
            <w:r>
              <w:rPr>
                <w:color w:val="FF0000"/>
                <w:position w:val="16"/>
                <w:sz w:val="13"/>
              </w:rPr>
              <w:t>50</w:t>
              <w:tab/>
            </w:r>
            <w:r>
              <w:rPr>
                <w:position w:val="11"/>
                <w:sz w:val="20"/>
              </w:rPr>
              <w:t>151.7</w:t>
            </w:r>
          </w:p>
        </w:tc>
        <w:tc>
          <w:tcPr>
            <w:tcW w:w="1208" w:type="dxa"/>
          </w:tcPr>
          <w:p>
            <w:pPr>
              <w:pStyle w:val="TableParagraph"/>
              <w:rPr>
                <w:sz w:val="22"/>
              </w:rPr>
            </w:pPr>
          </w:p>
          <w:p>
            <w:pPr>
              <w:pStyle w:val="TableParagraph"/>
              <w:spacing w:before="166"/>
              <w:ind w:left="332" w:right="335"/>
              <w:jc w:val="center"/>
              <w:rPr>
                <w:sz w:val="20"/>
              </w:rPr>
            </w:pPr>
            <w:r>
              <w:rPr>
                <w:sz w:val="20"/>
              </w:rPr>
              <w:t>110.1</w:t>
            </w:r>
          </w:p>
        </w:tc>
        <w:tc>
          <w:tcPr>
            <w:tcW w:w="1208" w:type="dxa"/>
          </w:tcPr>
          <w:p>
            <w:pPr>
              <w:pStyle w:val="TableParagraph"/>
              <w:rPr>
                <w:sz w:val="22"/>
              </w:rPr>
            </w:pPr>
          </w:p>
          <w:p>
            <w:pPr>
              <w:pStyle w:val="TableParagraph"/>
              <w:spacing w:before="166"/>
              <w:ind w:left="355"/>
              <w:rPr>
                <w:sz w:val="20"/>
              </w:rPr>
            </w:pPr>
            <w:r>
              <w:rPr>
                <w:sz w:val="20"/>
              </w:rPr>
              <w:t>60.2</w:t>
            </w:r>
          </w:p>
        </w:tc>
        <w:tc>
          <w:tcPr>
            <w:tcW w:w="1290" w:type="dxa"/>
          </w:tcPr>
          <w:p>
            <w:pPr>
              <w:pStyle w:val="TableParagraph"/>
              <w:rPr>
                <w:sz w:val="22"/>
              </w:rPr>
            </w:pPr>
          </w:p>
          <w:p>
            <w:pPr>
              <w:pStyle w:val="TableParagraph"/>
              <w:spacing w:before="166"/>
              <w:ind w:right="426"/>
              <w:jc w:val="right"/>
              <w:rPr>
                <w:sz w:val="20"/>
              </w:rPr>
            </w:pPr>
            <w:r>
              <w:rPr>
                <w:w w:val="95"/>
                <w:sz w:val="20"/>
              </w:rPr>
              <w:t>55%</w:t>
            </w:r>
          </w:p>
        </w:tc>
        <w:tc>
          <w:tcPr>
            <w:tcW w:w="1154" w:type="dxa"/>
          </w:tcPr>
          <w:p>
            <w:pPr>
              <w:pStyle w:val="TableParagraph"/>
              <w:rPr>
                <w:sz w:val="22"/>
              </w:rPr>
            </w:pPr>
          </w:p>
          <w:p>
            <w:pPr>
              <w:pStyle w:val="TableParagraph"/>
              <w:spacing w:before="166"/>
              <w:ind w:right="339"/>
              <w:jc w:val="right"/>
              <w:rPr>
                <w:sz w:val="20"/>
              </w:rPr>
            </w:pPr>
            <w:r>
              <w:rPr>
                <w:w w:val="95"/>
                <w:sz w:val="20"/>
              </w:rPr>
              <w:t>1.93</w:t>
            </w:r>
          </w:p>
        </w:tc>
      </w:tr>
      <w:tr>
        <w:trPr>
          <w:trHeight w:val="728" w:hRule="atLeast"/>
        </w:trPr>
        <w:tc>
          <w:tcPr>
            <w:tcW w:w="4696" w:type="dxa"/>
          </w:tcPr>
          <w:p>
            <w:pPr>
              <w:pStyle w:val="TableParagraph"/>
              <w:rPr>
                <w:sz w:val="23"/>
              </w:rPr>
            </w:pPr>
          </w:p>
          <w:p>
            <w:pPr>
              <w:pStyle w:val="TableParagraph"/>
              <w:spacing w:before="1"/>
              <w:ind w:right="349"/>
              <w:jc w:val="right"/>
              <w:rPr>
                <w:sz w:val="20"/>
              </w:rPr>
            </w:pPr>
            <w:r>
              <w:rPr>
                <w:sz w:val="20"/>
              </w:rPr>
              <w:t>153.8</w:t>
            </w:r>
          </w:p>
        </w:tc>
        <w:tc>
          <w:tcPr>
            <w:tcW w:w="1208" w:type="dxa"/>
          </w:tcPr>
          <w:p>
            <w:pPr>
              <w:pStyle w:val="TableParagraph"/>
              <w:rPr>
                <w:sz w:val="23"/>
              </w:rPr>
            </w:pPr>
          </w:p>
          <w:p>
            <w:pPr>
              <w:pStyle w:val="TableParagraph"/>
              <w:spacing w:before="1"/>
              <w:ind w:left="332" w:right="335"/>
              <w:jc w:val="center"/>
              <w:rPr>
                <w:sz w:val="20"/>
              </w:rPr>
            </w:pPr>
            <w:r>
              <w:rPr>
                <w:sz w:val="20"/>
              </w:rPr>
              <w:t>103.4</w:t>
            </w:r>
          </w:p>
        </w:tc>
        <w:tc>
          <w:tcPr>
            <w:tcW w:w="1208" w:type="dxa"/>
          </w:tcPr>
          <w:p>
            <w:pPr>
              <w:pStyle w:val="TableParagraph"/>
              <w:rPr>
                <w:sz w:val="23"/>
              </w:rPr>
            </w:pPr>
          </w:p>
          <w:p>
            <w:pPr>
              <w:pStyle w:val="TableParagraph"/>
              <w:spacing w:before="1"/>
              <w:ind w:left="355"/>
              <w:rPr>
                <w:sz w:val="20"/>
              </w:rPr>
            </w:pPr>
            <w:r>
              <w:rPr>
                <w:sz w:val="20"/>
              </w:rPr>
              <w:t>54.6</w:t>
            </w:r>
          </w:p>
        </w:tc>
        <w:tc>
          <w:tcPr>
            <w:tcW w:w="1290" w:type="dxa"/>
          </w:tcPr>
          <w:p>
            <w:pPr>
              <w:pStyle w:val="TableParagraph"/>
              <w:rPr>
                <w:sz w:val="23"/>
              </w:rPr>
            </w:pPr>
          </w:p>
          <w:p>
            <w:pPr>
              <w:pStyle w:val="TableParagraph"/>
              <w:spacing w:before="1"/>
              <w:ind w:right="426"/>
              <w:jc w:val="right"/>
              <w:rPr>
                <w:sz w:val="20"/>
              </w:rPr>
            </w:pPr>
            <w:r>
              <w:rPr>
                <w:w w:val="95"/>
                <w:sz w:val="20"/>
              </w:rPr>
              <w:t>53%</w:t>
            </w:r>
          </w:p>
        </w:tc>
        <w:tc>
          <w:tcPr>
            <w:tcW w:w="1154" w:type="dxa"/>
          </w:tcPr>
          <w:p>
            <w:pPr>
              <w:pStyle w:val="TableParagraph"/>
              <w:rPr>
                <w:sz w:val="23"/>
              </w:rPr>
            </w:pPr>
          </w:p>
          <w:p>
            <w:pPr>
              <w:pStyle w:val="TableParagraph"/>
              <w:spacing w:before="1"/>
              <w:ind w:right="339"/>
              <w:jc w:val="right"/>
              <w:rPr>
                <w:sz w:val="20"/>
              </w:rPr>
            </w:pPr>
            <w:r>
              <w:rPr>
                <w:w w:val="95"/>
                <w:sz w:val="20"/>
              </w:rPr>
              <w:t>1.93</w:t>
            </w:r>
          </w:p>
        </w:tc>
      </w:tr>
      <w:tr>
        <w:trPr>
          <w:trHeight w:val="542" w:hRule="atLeast"/>
        </w:trPr>
        <w:tc>
          <w:tcPr>
            <w:tcW w:w="4696" w:type="dxa"/>
          </w:tcPr>
          <w:p>
            <w:pPr>
              <w:pStyle w:val="TableParagraph"/>
              <w:spacing w:before="7"/>
              <w:rPr>
                <w:sz w:val="19"/>
              </w:rPr>
            </w:pPr>
          </w:p>
          <w:p>
            <w:pPr>
              <w:pStyle w:val="TableParagraph"/>
              <w:ind w:right="349"/>
              <w:jc w:val="right"/>
              <w:rPr>
                <w:sz w:val="20"/>
              </w:rPr>
            </w:pPr>
            <w:r>
              <w:rPr>
                <w:sz w:val="20"/>
              </w:rPr>
              <w:t>166.1</w:t>
            </w:r>
          </w:p>
        </w:tc>
        <w:tc>
          <w:tcPr>
            <w:tcW w:w="1208" w:type="dxa"/>
          </w:tcPr>
          <w:p>
            <w:pPr>
              <w:pStyle w:val="TableParagraph"/>
              <w:spacing w:before="7"/>
              <w:rPr>
                <w:sz w:val="19"/>
              </w:rPr>
            </w:pPr>
          </w:p>
          <w:p>
            <w:pPr>
              <w:pStyle w:val="TableParagraph"/>
              <w:ind w:left="332" w:right="335"/>
              <w:jc w:val="center"/>
              <w:rPr>
                <w:sz w:val="20"/>
              </w:rPr>
            </w:pPr>
            <w:r>
              <w:rPr>
                <w:sz w:val="20"/>
              </w:rPr>
              <w:t>109.1</w:t>
            </w:r>
          </w:p>
        </w:tc>
        <w:tc>
          <w:tcPr>
            <w:tcW w:w="1208" w:type="dxa"/>
          </w:tcPr>
          <w:p>
            <w:pPr>
              <w:pStyle w:val="TableParagraph"/>
              <w:spacing w:before="7"/>
              <w:rPr>
                <w:sz w:val="19"/>
              </w:rPr>
            </w:pPr>
          </w:p>
          <w:p>
            <w:pPr>
              <w:pStyle w:val="TableParagraph"/>
              <w:ind w:left="355"/>
              <w:rPr>
                <w:sz w:val="20"/>
              </w:rPr>
            </w:pPr>
            <w:r>
              <w:rPr>
                <w:sz w:val="20"/>
              </w:rPr>
              <w:t>63.2</w:t>
            </w:r>
          </w:p>
        </w:tc>
        <w:tc>
          <w:tcPr>
            <w:tcW w:w="1290" w:type="dxa"/>
          </w:tcPr>
          <w:p>
            <w:pPr>
              <w:pStyle w:val="TableParagraph"/>
              <w:spacing w:before="7"/>
              <w:rPr>
                <w:sz w:val="19"/>
              </w:rPr>
            </w:pPr>
          </w:p>
          <w:p>
            <w:pPr>
              <w:pStyle w:val="TableParagraph"/>
              <w:ind w:right="426"/>
              <w:jc w:val="right"/>
              <w:rPr>
                <w:sz w:val="20"/>
              </w:rPr>
            </w:pPr>
            <w:r>
              <w:rPr>
                <w:w w:val="95"/>
                <w:sz w:val="20"/>
              </w:rPr>
              <w:t>58%</w:t>
            </w:r>
          </w:p>
        </w:tc>
        <w:tc>
          <w:tcPr>
            <w:tcW w:w="1154" w:type="dxa"/>
          </w:tcPr>
          <w:p>
            <w:pPr>
              <w:pStyle w:val="TableParagraph"/>
              <w:spacing w:before="7"/>
              <w:rPr>
                <w:sz w:val="19"/>
              </w:rPr>
            </w:pPr>
          </w:p>
          <w:p>
            <w:pPr>
              <w:pStyle w:val="TableParagraph"/>
              <w:ind w:right="337"/>
              <w:jc w:val="right"/>
              <w:rPr>
                <w:sz w:val="20"/>
              </w:rPr>
            </w:pPr>
            <w:r>
              <w:rPr>
                <w:w w:val="95"/>
                <w:sz w:val="20"/>
              </w:rPr>
              <w:t>1.93</w:t>
            </w:r>
          </w:p>
        </w:tc>
      </w:tr>
      <w:tr>
        <w:trPr>
          <w:trHeight w:val="398" w:hRule="atLeast"/>
        </w:trPr>
        <w:tc>
          <w:tcPr>
            <w:tcW w:w="4696" w:type="dxa"/>
          </w:tcPr>
          <w:p>
            <w:pPr>
              <w:pStyle w:val="TableParagraph"/>
              <w:tabs>
                <w:tab w:pos="3172" w:val="right" w:leader="none"/>
              </w:tabs>
              <w:spacing w:before="117"/>
              <w:ind w:left="1415"/>
              <w:rPr>
                <w:sz w:val="20"/>
              </w:rPr>
            </w:pPr>
            <w:r>
              <w:rPr>
                <w:spacing w:val="2"/>
                <w:sz w:val="20"/>
              </w:rPr>
              <w:t>T7</w:t>
              <w:tab/>
            </w:r>
            <w:r>
              <w:rPr>
                <w:sz w:val="20"/>
              </w:rPr>
              <w:t>345</w:t>
            </w:r>
            <w:r>
              <w:rPr>
                <w:color w:val="FF0000"/>
                <w:sz w:val="20"/>
                <w:vertAlign w:val="superscript"/>
              </w:rPr>
              <w:t>50</w:t>
            </w:r>
          </w:p>
        </w:tc>
        <w:tc>
          <w:tcPr>
            <w:tcW w:w="1208" w:type="dxa"/>
          </w:tcPr>
          <w:p>
            <w:pPr>
              <w:pStyle w:val="TableParagraph"/>
              <w:rPr>
                <w:rFonts w:ascii="Times New Roman"/>
                <w:sz w:val="20"/>
              </w:rPr>
            </w:pPr>
          </w:p>
        </w:tc>
        <w:tc>
          <w:tcPr>
            <w:tcW w:w="1208" w:type="dxa"/>
          </w:tcPr>
          <w:p>
            <w:pPr>
              <w:pStyle w:val="TableParagraph"/>
              <w:rPr>
                <w:rFonts w:ascii="Times New Roman"/>
                <w:sz w:val="20"/>
              </w:rPr>
            </w:pPr>
          </w:p>
        </w:tc>
        <w:tc>
          <w:tcPr>
            <w:tcW w:w="1290" w:type="dxa"/>
          </w:tcPr>
          <w:p>
            <w:pPr>
              <w:pStyle w:val="TableParagraph"/>
              <w:rPr>
                <w:rFonts w:ascii="Times New Roman"/>
                <w:sz w:val="20"/>
              </w:rPr>
            </w:pPr>
          </w:p>
        </w:tc>
        <w:tc>
          <w:tcPr>
            <w:tcW w:w="1154" w:type="dxa"/>
          </w:tcPr>
          <w:p>
            <w:pPr>
              <w:pStyle w:val="TableParagraph"/>
              <w:rPr>
                <w:rFonts w:ascii="Times New Roman"/>
                <w:sz w:val="20"/>
              </w:rPr>
            </w:pPr>
          </w:p>
        </w:tc>
      </w:tr>
      <w:tr>
        <w:trPr>
          <w:trHeight w:val="468" w:hRule="atLeast"/>
        </w:trPr>
        <w:tc>
          <w:tcPr>
            <w:tcW w:w="4696" w:type="dxa"/>
            <w:tcBorders>
              <w:bottom w:val="single" w:sz="18" w:space="0" w:color="000000"/>
            </w:tcBorders>
          </w:tcPr>
          <w:p>
            <w:pPr>
              <w:pStyle w:val="TableParagraph"/>
              <w:spacing w:before="43"/>
              <w:ind w:right="349"/>
              <w:jc w:val="right"/>
              <w:rPr>
                <w:sz w:val="20"/>
              </w:rPr>
            </w:pPr>
            <w:r>
              <w:rPr>
                <w:sz w:val="20"/>
              </w:rPr>
              <w:t>168.5</w:t>
            </w:r>
          </w:p>
        </w:tc>
        <w:tc>
          <w:tcPr>
            <w:tcW w:w="1208" w:type="dxa"/>
            <w:tcBorders>
              <w:bottom w:val="single" w:sz="18" w:space="0" w:color="000000"/>
            </w:tcBorders>
          </w:tcPr>
          <w:p>
            <w:pPr>
              <w:pStyle w:val="TableParagraph"/>
              <w:spacing w:before="43"/>
              <w:ind w:left="332" w:right="335"/>
              <w:jc w:val="center"/>
              <w:rPr>
                <w:sz w:val="20"/>
              </w:rPr>
            </w:pPr>
            <w:r>
              <w:rPr>
                <w:sz w:val="20"/>
              </w:rPr>
              <w:t>121.5</w:t>
            </w:r>
          </w:p>
        </w:tc>
        <w:tc>
          <w:tcPr>
            <w:tcW w:w="1208" w:type="dxa"/>
            <w:tcBorders>
              <w:bottom w:val="single" w:sz="18" w:space="0" w:color="000000"/>
            </w:tcBorders>
          </w:tcPr>
          <w:p>
            <w:pPr>
              <w:pStyle w:val="TableParagraph"/>
              <w:spacing w:before="43"/>
              <w:ind w:left="355"/>
              <w:rPr>
                <w:sz w:val="20"/>
              </w:rPr>
            </w:pPr>
            <w:r>
              <w:rPr>
                <w:sz w:val="20"/>
              </w:rPr>
              <w:t>61.1</w:t>
            </w:r>
          </w:p>
        </w:tc>
        <w:tc>
          <w:tcPr>
            <w:tcW w:w="1290" w:type="dxa"/>
            <w:tcBorders>
              <w:bottom w:val="single" w:sz="18" w:space="0" w:color="000000"/>
            </w:tcBorders>
          </w:tcPr>
          <w:p>
            <w:pPr>
              <w:pStyle w:val="TableParagraph"/>
              <w:spacing w:before="43"/>
              <w:ind w:right="426"/>
              <w:jc w:val="right"/>
              <w:rPr>
                <w:sz w:val="20"/>
              </w:rPr>
            </w:pPr>
            <w:r>
              <w:rPr>
                <w:w w:val="95"/>
                <w:sz w:val="20"/>
              </w:rPr>
              <w:t>51%</w:t>
            </w:r>
          </w:p>
        </w:tc>
        <w:tc>
          <w:tcPr>
            <w:tcW w:w="1154" w:type="dxa"/>
            <w:tcBorders>
              <w:bottom w:val="single" w:sz="18" w:space="0" w:color="000000"/>
            </w:tcBorders>
          </w:tcPr>
          <w:p>
            <w:pPr>
              <w:pStyle w:val="TableParagraph"/>
              <w:spacing w:before="43"/>
              <w:ind w:right="337"/>
              <w:jc w:val="right"/>
              <w:rPr>
                <w:sz w:val="20"/>
              </w:rPr>
            </w:pPr>
            <w:r>
              <w:rPr>
                <w:w w:val="95"/>
                <w:sz w:val="20"/>
              </w:rPr>
              <w:t>1.95</w:t>
            </w:r>
          </w:p>
        </w:tc>
      </w:tr>
      <w:tr>
        <w:trPr>
          <w:trHeight w:val="558" w:hRule="atLeast"/>
        </w:trPr>
        <w:tc>
          <w:tcPr>
            <w:tcW w:w="4696" w:type="dxa"/>
            <w:tcBorders>
              <w:top w:val="single" w:sz="18" w:space="0" w:color="000000"/>
            </w:tcBorders>
          </w:tcPr>
          <w:p>
            <w:pPr>
              <w:pStyle w:val="TableParagraph"/>
              <w:spacing w:before="6"/>
              <w:rPr>
                <w:sz w:val="21"/>
              </w:rPr>
            </w:pPr>
          </w:p>
          <w:p>
            <w:pPr>
              <w:pStyle w:val="TableParagraph"/>
              <w:ind w:right="349"/>
              <w:jc w:val="right"/>
              <w:rPr>
                <w:sz w:val="20"/>
              </w:rPr>
            </w:pPr>
            <w:r>
              <w:rPr>
                <w:sz w:val="20"/>
              </w:rPr>
              <w:t>126.9</w:t>
            </w:r>
          </w:p>
        </w:tc>
        <w:tc>
          <w:tcPr>
            <w:tcW w:w="1208" w:type="dxa"/>
            <w:tcBorders>
              <w:top w:val="single" w:sz="18" w:space="0" w:color="000000"/>
            </w:tcBorders>
          </w:tcPr>
          <w:p>
            <w:pPr>
              <w:pStyle w:val="TableParagraph"/>
              <w:spacing w:before="6"/>
              <w:rPr>
                <w:sz w:val="21"/>
              </w:rPr>
            </w:pPr>
          </w:p>
          <w:p>
            <w:pPr>
              <w:pStyle w:val="TableParagraph"/>
              <w:ind w:left="329" w:right="335"/>
              <w:jc w:val="center"/>
              <w:rPr>
                <w:sz w:val="20"/>
              </w:rPr>
            </w:pPr>
            <w:r>
              <w:rPr>
                <w:sz w:val="20"/>
              </w:rPr>
              <w:t>78.6</w:t>
            </w:r>
          </w:p>
        </w:tc>
        <w:tc>
          <w:tcPr>
            <w:tcW w:w="1208" w:type="dxa"/>
            <w:tcBorders>
              <w:top w:val="single" w:sz="18" w:space="0" w:color="000000"/>
            </w:tcBorders>
          </w:tcPr>
          <w:p>
            <w:pPr>
              <w:pStyle w:val="TableParagraph"/>
              <w:spacing w:before="6"/>
              <w:rPr>
                <w:sz w:val="21"/>
              </w:rPr>
            </w:pPr>
          </w:p>
          <w:p>
            <w:pPr>
              <w:pStyle w:val="TableParagraph"/>
              <w:ind w:left="355"/>
              <w:rPr>
                <w:sz w:val="20"/>
              </w:rPr>
            </w:pPr>
            <w:r>
              <w:rPr>
                <w:sz w:val="20"/>
              </w:rPr>
              <w:t>50.7</w:t>
            </w:r>
          </w:p>
        </w:tc>
        <w:tc>
          <w:tcPr>
            <w:tcW w:w="1290" w:type="dxa"/>
            <w:tcBorders>
              <w:top w:val="single" w:sz="18" w:space="0" w:color="000000"/>
            </w:tcBorders>
          </w:tcPr>
          <w:p>
            <w:pPr>
              <w:pStyle w:val="TableParagraph"/>
              <w:spacing w:before="6"/>
              <w:rPr>
                <w:sz w:val="21"/>
              </w:rPr>
            </w:pPr>
          </w:p>
          <w:p>
            <w:pPr>
              <w:pStyle w:val="TableParagraph"/>
              <w:ind w:right="426"/>
              <w:jc w:val="right"/>
              <w:rPr>
                <w:sz w:val="20"/>
              </w:rPr>
            </w:pPr>
            <w:r>
              <w:rPr>
                <w:w w:val="95"/>
                <w:sz w:val="20"/>
              </w:rPr>
              <w:t>64%</w:t>
            </w:r>
          </w:p>
        </w:tc>
        <w:tc>
          <w:tcPr>
            <w:tcW w:w="1154" w:type="dxa"/>
            <w:tcBorders>
              <w:top w:val="single" w:sz="18" w:space="0" w:color="000000"/>
            </w:tcBorders>
          </w:tcPr>
          <w:p>
            <w:pPr>
              <w:pStyle w:val="TableParagraph"/>
              <w:spacing w:before="6"/>
              <w:rPr>
                <w:sz w:val="21"/>
              </w:rPr>
            </w:pPr>
          </w:p>
          <w:p>
            <w:pPr>
              <w:pStyle w:val="TableParagraph"/>
              <w:ind w:right="339"/>
              <w:jc w:val="right"/>
              <w:rPr>
                <w:sz w:val="20"/>
              </w:rPr>
            </w:pPr>
            <w:r>
              <w:rPr>
                <w:w w:val="95"/>
                <w:sz w:val="20"/>
              </w:rPr>
              <w:t>1.20</w:t>
            </w:r>
          </w:p>
        </w:tc>
      </w:tr>
      <w:tr>
        <w:trPr>
          <w:trHeight w:val="381" w:hRule="atLeast"/>
        </w:trPr>
        <w:tc>
          <w:tcPr>
            <w:tcW w:w="4696" w:type="dxa"/>
          </w:tcPr>
          <w:p>
            <w:pPr>
              <w:pStyle w:val="TableParagraph"/>
              <w:tabs>
                <w:tab w:pos="3172" w:val="right" w:leader="none"/>
              </w:tabs>
              <w:spacing w:before="72"/>
              <w:ind w:left="107"/>
              <w:rPr>
                <w:sz w:val="13"/>
              </w:rPr>
            </w:pPr>
            <w:r>
              <w:rPr>
                <w:position w:val="2"/>
                <w:sz w:val="20"/>
              </w:rPr>
              <w:t>Magnesio</w:t>
              <w:tab/>
            </w:r>
            <w:r>
              <w:rPr>
                <w:color w:val="FF0000"/>
                <w:sz w:val="13"/>
              </w:rPr>
              <w:t>51</w:t>
            </w:r>
          </w:p>
        </w:tc>
        <w:tc>
          <w:tcPr>
            <w:tcW w:w="1208" w:type="dxa"/>
          </w:tcPr>
          <w:p>
            <w:pPr>
              <w:pStyle w:val="TableParagraph"/>
              <w:rPr>
                <w:rFonts w:ascii="Times New Roman"/>
                <w:sz w:val="20"/>
              </w:rPr>
            </w:pPr>
          </w:p>
        </w:tc>
        <w:tc>
          <w:tcPr>
            <w:tcW w:w="1208" w:type="dxa"/>
          </w:tcPr>
          <w:p>
            <w:pPr>
              <w:pStyle w:val="TableParagraph"/>
              <w:rPr>
                <w:rFonts w:ascii="Times New Roman"/>
                <w:sz w:val="20"/>
              </w:rPr>
            </w:pPr>
          </w:p>
        </w:tc>
        <w:tc>
          <w:tcPr>
            <w:tcW w:w="1290" w:type="dxa"/>
          </w:tcPr>
          <w:p>
            <w:pPr>
              <w:pStyle w:val="TableParagraph"/>
              <w:rPr>
                <w:rFonts w:ascii="Times New Roman"/>
                <w:sz w:val="20"/>
              </w:rPr>
            </w:pPr>
          </w:p>
        </w:tc>
        <w:tc>
          <w:tcPr>
            <w:tcW w:w="1154" w:type="dxa"/>
          </w:tcPr>
          <w:p>
            <w:pPr>
              <w:pStyle w:val="TableParagraph"/>
              <w:rPr>
                <w:rFonts w:ascii="Times New Roman"/>
                <w:sz w:val="20"/>
              </w:rPr>
            </w:pPr>
          </w:p>
        </w:tc>
      </w:tr>
      <w:tr>
        <w:trPr>
          <w:trHeight w:val="564" w:hRule="atLeast"/>
        </w:trPr>
        <w:tc>
          <w:tcPr>
            <w:tcW w:w="4696" w:type="dxa"/>
          </w:tcPr>
          <w:p>
            <w:pPr>
              <w:pStyle w:val="TableParagraph"/>
              <w:tabs>
                <w:tab w:pos="1415" w:val="left" w:leader="none"/>
                <w:tab w:pos="2697" w:val="left" w:leader="none"/>
                <w:tab w:pos="4344" w:val="right" w:leader="none"/>
              </w:tabs>
              <w:spacing w:before="66"/>
              <w:ind w:left="107"/>
              <w:rPr>
                <w:sz w:val="20"/>
              </w:rPr>
            </w:pPr>
            <w:r>
              <w:rPr>
                <w:position w:val="-10"/>
                <w:sz w:val="20"/>
              </w:rPr>
              <w:t>Mg-AZ91</w:t>
              <w:tab/>
            </w:r>
            <w:r>
              <w:rPr>
                <w:sz w:val="20"/>
              </w:rPr>
              <w:t>Colada</w:t>
              <w:tab/>
              <w:t>150</w:t>
              <w:tab/>
            </w:r>
            <w:r>
              <w:rPr>
                <w:position w:val="7"/>
                <w:sz w:val="20"/>
              </w:rPr>
              <w:t>116.9</w:t>
            </w:r>
          </w:p>
        </w:tc>
        <w:tc>
          <w:tcPr>
            <w:tcW w:w="1208" w:type="dxa"/>
          </w:tcPr>
          <w:p>
            <w:pPr>
              <w:pStyle w:val="TableParagraph"/>
              <w:spacing w:before="66"/>
              <w:ind w:left="329" w:right="335"/>
              <w:jc w:val="center"/>
              <w:rPr>
                <w:sz w:val="20"/>
              </w:rPr>
            </w:pPr>
            <w:r>
              <w:rPr>
                <w:sz w:val="20"/>
              </w:rPr>
              <w:t>71.4</w:t>
            </w:r>
          </w:p>
        </w:tc>
        <w:tc>
          <w:tcPr>
            <w:tcW w:w="1208" w:type="dxa"/>
          </w:tcPr>
          <w:p>
            <w:pPr>
              <w:pStyle w:val="TableParagraph"/>
              <w:spacing w:before="66"/>
              <w:ind w:left="355"/>
              <w:rPr>
                <w:sz w:val="20"/>
              </w:rPr>
            </w:pPr>
            <w:r>
              <w:rPr>
                <w:sz w:val="20"/>
              </w:rPr>
              <w:t>45.9</w:t>
            </w:r>
          </w:p>
        </w:tc>
        <w:tc>
          <w:tcPr>
            <w:tcW w:w="1290" w:type="dxa"/>
          </w:tcPr>
          <w:p>
            <w:pPr>
              <w:pStyle w:val="TableParagraph"/>
              <w:spacing w:before="66"/>
              <w:ind w:right="426"/>
              <w:jc w:val="right"/>
              <w:rPr>
                <w:sz w:val="20"/>
              </w:rPr>
            </w:pPr>
            <w:r>
              <w:rPr>
                <w:w w:val="95"/>
                <w:sz w:val="20"/>
              </w:rPr>
              <w:t>63%</w:t>
            </w:r>
          </w:p>
        </w:tc>
        <w:tc>
          <w:tcPr>
            <w:tcW w:w="1154" w:type="dxa"/>
          </w:tcPr>
          <w:p>
            <w:pPr>
              <w:pStyle w:val="TableParagraph"/>
              <w:spacing w:before="66"/>
              <w:ind w:right="339"/>
              <w:jc w:val="right"/>
              <w:rPr>
                <w:sz w:val="20"/>
              </w:rPr>
            </w:pPr>
            <w:r>
              <w:rPr>
                <w:w w:val="95"/>
                <w:sz w:val="20"/>
              </w:rPr>
              <w:t>1.22</w:t>
            </w:r>
          </w:p>
        </w:tc>
      </w:tr>
      <w:tr>
        <w:trPr>
          <w:trHeight w:val="758" w:hRule="atLeast"/>
        </w:trPr>
        <w:tc>
          <w:tcPr>
            <w:tcW w:w="4696" w:type="dxa"/>
          </w:tcPr>
          <w:p>
            <w:pPr>
              <w:pStyle w:val="TableParagraph"/>
              <w:spacing w:before="7"/>
              <w:rPr>
                <w:sz w:val="22"/>
              </w:rPr>
            </w:pPr>
          </w:p>
          <w:p>
            <w:pPr>
              <w:pStyle w:val="TableParagraph"/>
              <w:ind w:right="349"/>
              <w:jc w:val="right"/>
              <w:rPr>
                <w:sz w:val="20"/>
              </w:rPr>
            </w:pPr>
            <w:r>
              <w:rPr>
                <w:sz w:val="20"/>
              </w:rPr>
              <w:t>111.6</w:t>
            </w:r>
          </w:p>
        </w:tc>
        <w:tc>
          <w:tcPr>
            <w:tcW w:w="1208" w:type="dxa"/>
          </w:tcPr>
          <w:p>
            <w:pPr>
              <w:pStyle w:val="TableParagraph"/>
              <w:spacing w:before="7"/>
              <w:rPr>
                <w:sz w:val="22"/>
              </w:rPr>
            </w:pPr>
          </w:p>
          <w:p>
            <w:pPr>
              <w:pStyle w:val="TableParagraph"/>
              <w:ind w:left="329" w:right="335"/>
              <w:jc w:val="center"/>
              <w:rPr>
                <w:sz w:val="20"/>
              </w:rPr>
            </w:pPr>
            <w:r>
              <w:rPr>
                <w:sz w:val="20"/>
              </w:rPr>
              <w:t>64.6</w:t>
            </w:r>
          </w:p>
        </w:tc>
        <w:tc>
          <w:tcPr>
            <w:tcW w:w="1208" w:type="dxa"/>
          </w:tcPr>
          <w:p>
            <w:pPr>
              <w:pStyle w:val="TableParagraph"/>
              <w:spacing w:before="7"/>
              <w:rPr>
                <w:sz w:val="22"/>
              </w:rPr>
            </w:pPr>
          </w:p>
          <w:p>
            <w:pPr>
              <w:pStyle w:val="TableParagraph"/>
              <w:ind w:left="355"/>
              <w:rPr>
                <w:sz w:val="20"/>
              </w:rPr>
            </w:pPr>
            <w:r>
              <w:rPr>
                <w:sz w:val="20"/>
              </w:rPr>
              <w:t>41.5</w:t>
            </w:r>
          </w:p>
        </w:tc>
        <w:tc>
          <w:tcPr>
            <w:tcW w:w="1290" w:type="dxa"/>
          </w:tcPr>
          <w:p>
            <w:pPr>
              <w:pStyle w:val="TableParagraph"/>
              <w:spacing w:before="7"/>
              <w:rPr>
                <w:sz w:val="22"/>
              </w:rPr>
            </w:pPr>
          </w:p>
          <w:p>
            <w:pPr>
              <w:pStyle w:val="TableParagraph"/>
              <w:ind w:right="426"/>
              <w:jc w:val="right"/>
              <w:rPr>
                <w:sz w:val="20"/>
              </w:rPr>
            </w:pPr>
            <w:r>
              <w:rPr>
                <w:w w:val="95"/>
                <w:sz w:val="20"/>
              </w:rPr>
              <w:t>63%</w:t>
            </w:r>
          </w:p>
        </w:tc>
        <w:tc>
          <w:tcPr>
            <w:tcW w:w="1154" w:type="dxa"/>
          </w:tcPr>
          <w:p>
            <w:pPr>
              <w:pStyle w:val="TableParagraph"/>
              <w:spacing w:before="7"/>
              <w:rPr>
                <w:sz w:val="22"/>
              </w:rPr>
            </w:pPr>
          </w:p>
          <w:p>
            <w:pPr>
              <w:pStyle w:val="TableParagraph"/>
              <w:ind w:right="339"/>
              <w:jc w:val="right"/>
              <w:rPr>
                <w:sz w:val="20"/>
              </w:rPr>
            </w:pPr>
            <w:r>
              <w:rPr>
                <w:w w:val="95"/>
                <w:sz w:val="20"/>
              </w:rPr>
              <w:t>1.21</w:t>
            </w:r>
          </w:p>
        </w:tc>
      </w:tr>
      <w:tr>
        <w:trPr>
          <w:trHeight w:val="490" w:hRule="atLeast"/>
        </w:trPr>
        <w:tc>
          <w:tcPr>
            <w:tcW w:w="4696" w:type="dxa"/>
          </w:tcPr>
          <w:p>
            <w:pPr>
              <w:pStyle w:val="TableParagraph"/>
              <w:spacing w:before="7"/>
              <w:rPr>
                <w:sz w:val="22"/>
              </w:rPr>
            </w:pPr>
          </w:p>
          <w:p>
            <w:pPr>
              <w:pStyle w:val="TableParagraph"/>
              <w:spacing w:line="210" w:lineRule="exact"/>
              <w:ind w:right="349"/>
              <w:jc w:val="right"/>
              <w:rPr>
                <w:sz w:val="20"/>
              </w:rPr>
            </w:pPr>
            <w:r>
              <w:rPr>
                <w:sz w:val="20"/>
              </w:rPr>
              <w:t>118.2</w:t>
            </w:r>
          </w:p>
        </w:tc>
        <w:tc>
          <w:tcPr>
            <w:tcW w:w="1208" w:type="dxa"/>
          </w:tcPr>
          <w:p>
            <w:pPr>
              <w:pStyle w:val="TableParagraph"/>
              <w:spacing w:before="7"/>
              <w:rPr>
                <w:sz w:val="22"/>
              </w:rPr>
            </w:pPr>
          </w:p>
          <w:p>
            <w:pPr>
              <w:pStyle w:val="TableParagraph"/>
              <w:spacing w:line="210" w:lineRule="exact"/>
              <w:ind w:left="329" w:right="335"/>
              <w:jc w:val="center"/>
              <w:rPr>
                <w:sz w:val="20"/>
              </w:rPr>
            </w:pPr>
            <w:r>
              <w:rPr>
                <w:sz w:val="20"/>
              </w:rPr>
              <w:t>63.7</w:t>
            </w:r>
          </w:p>
        </w:tc>
        <w:tc>
          <w:tcPr>
            <w:tcW w:w="1208" w:type="dxa"/>
          </w:tcPr>
          <w:p>
            <w:pPr>
              <w:pStyle w:val="TableParagraph"/>
              <w:spacing w:before="7"/>
              <w:rPr>
                <w:sz w:val="22"/>
              </w:rPr>
            </w:pPr>
          </w:p>
          <w:p>
            <w:pPr>
              <w:pStyle w:val="TableParagraph"/>
              <w:spacing w:line="210" w:lineRule="exact"/>
              <w:ind w:left="355"/>
              <w:rPr>
                <w:sz w:val="20"/>
              </w:rPr>
            </w:pPr>
            <w:r>
              <w:rPr>
                <w:sz w:val="20"/>
              </w:rPr>
              <w:t>39.4</w:t>
            </w:r>
          </w:p>
        </w:tc>
        <w:tc>
          <w:tcPr>
            <w:tcW w:w="1290" w:type="dxa"/>
          </w:tcPr>
          <w:p>
            <w:pPr>
              <w:pStyle w:val="TableParagraph"/>
              <w:spacing w:before="7"/>
              <w:rPr>
                <w:sz w:val="22"/>
              </w:rPr>
            </w:pPr>
          </w:p>
          <w:p>
            <w:pPr>
              <w:pStyle w:val="TableParagraph"/>
              <w:spacing w:line="210" w:lineRule="exact"/>
              <w:ind w:right="426"/>
              <w:jc w:val="right"/>
              <w:rPr>
                <w:sz w:val="20"/>
              </w:rPr>
            </w:pPr>
            <w:r>
              <w:rPr>
                <w:w w:val="95"/>
                <w:sz w:val="20"/>
              </w:rPr>
              <w:t>60%</w:t>
            </w:r>
          </w:p>
        </w:tc>
        <w:tc>
          <w:tcPr>
            <w:tcW w:w="1154" w:type="dxa"/>
          </w:tcPr>
          <w:p>
            <w:pPr>
              <w:pStyle w:val="TableParagraph"/>
              <w:spacing w:before="7"/>
              <w:rPr>
                <w:sz w:val="22"/>
              </w:rPr>
            </w:pPr>
          </w:p>
          <w:p>
            <w:pPr>
              <w:pStyle w:val="TableParagraph"/>
              <w:spacing w:line="210" w:lineRule="exact"/>
              <w:ind w:right="339"/>
              <w:jc w:val="right"/>
              <w:rPr>
                <w:sz w:val="20"/>
              </w:rPr>
            </w:pPr>
            <w:r>
              <w:rPr>
                <w:w w:val="95"/>
                <w:sz w:val="20"/>
              </w:rPr>
              <w:t>1.21</w:t>
            </w:r>
          </w:p>
        </w:tc>
      </w:tr>
    </w:tbl>
    <w:p>
      <w:pPr>
        <w:pStyle w:val="BodyText"/>
        <w:spacing w:before="1"/>
        <w:rPr>
          <w:sz w:val="14"/>
        </w:rPr>
      </w:pPr>
      <w:r>
        <w:rPr/>
        <w:pict>
          <v:group style="position:absolute;margin-left:81.660004pt;margin-top:10.079336pt;width:477.75pt;height:1.6pt;mso-position-horizontal-relative:page;mso-position-vertical-relative:paragraph;z-index:-251645952;mso-wrap-distance-left:0;mso-wrap-distance-right:0" coordorigin="1633,202" coordsize="9555,32">
            <v:line style="position:absolute" from="1633,217" to="2941,217" stroked="true" strokeweight="1.56pt" strokecolor="#000000">
              <v:stroke dashstyle="solid"/>
            </v:line>
            <v:line style="position:absolute" from="2941,217" to="2970,217" stroked="true" strokeweight="1.56pt" strokecolor="#000000">
              <v:stroke dashstyle="solid"/>
            </v:line>
            <v:line style="position:absolute" from="2970,217" to="4060,217" stroked="true" strokeweight="1.56pt" strokecolor="#000000">
              <v:stroke dashstyle="solid"/>
            </v:line>
            <v:line style="position:absolute" from="4060,217" to="4088,217" stroked="true" strokeweight="1.56pt" strokecolor="#000000">
              <v:stroke dashstyle="solid"/>
            </v:line>
            <v:line style="position:absolute" from="4088,217" to="5084,217" stroked="true" strokeweight="1.56pt" strokecolor="#000000">
              <v:stroke dashstyle="solid"/>
            </v:line>
            <v:line style="position:absolute" from="5084,217" to="5113,217" stroked="true" strokeweight="1.56pt" strokecolor="#000000">
              <v:stroke dashstyle="solid"/>
            </v:line>
            <v:line style="position:absolute" from="5113,217" to="6380,217" stroked="true" strokeweight="1.56pt" strokecolor="#000000">
              <v:stroke dashstyle="solid"/>
            </v:line>
            <v:line style="position:absolute" from="6380,217" to="6409,217" stroked="true" strokeweight="1.56pt" strokecolor="#000000">
              <v:stroke dashstyle="solid"/>
            </v:line>
            <v:line style="position:absolute" from="6409,217" to="7487,217" stroked="true" strokeweight="1.56pt" strokecolor="#000000">
              <v:stroke dashstyle="solid"/>
            </v:line>
            <v:line style="position:absolute" from="7487,217" to="7515,217" stroked="true" strokeweight="1.56pt" strokecolor="#000000">
              <v:stroke dashstyle="solid"/>
            </v:line>
            <v:line style="position:absolute" from="7513,217" to="8693,217" stroked="true" strokeweight="1.56pt" strokecolor="#000000">
              <v:stroke dashstyle="solid"/>
            </v:line>
            <v:line style="position:absolute" from="8694,217" to="8723,217" stroked="true" strokeweight="1.56pt" strokecolor="#000000">
              <v:stroke dashstyle="solid"/>
            </v:line>
            <v:line style="position:absolute" from="8723,217" to="10127,217" stroked="true" strokeweight="1.56pt" strokecolor="#000000">
              <v:stroke dashstyle="solid"/>
            </v:line>
            <v:line style="position:absolute" from="10127,217" to="10156,217" stroked="true" strokeweight="1.56pt" strokecolor="#000000">
              <v:stroke dashstyle="solid"/>
            </v:line>
            <v:line style="position:absolute" from="10156,217" to="11188,217" stroked="true" strokeweight="1.56pt" strokecolor="#000000">
              <v:stroke dashstyle="solid"/>
            </v:line>
            <w10:wrap type="topAndBottom"/>
          </v:group>
        </w:pict>
      </w:r>
    </w:p>
    <w:p>
      <w:pPr>
        <w:pStyle w:val="BodyText"/>
        <w:spacing w:before="6"/>
        <w:rPr>
          <w:sz w:val="11"/>
        </w:rPr>
      </w:pPr>
    </w:p>
    <w:p>
      <w:pPr>
        <w:spacing w:before="93"/>
        <w:ind w:left="220" w:right="0" w:firstLine="0"/>
        <w:jc w:val="left"/>
        <w:rPr>
          <w:sz w:val="20"/>
        </w:rPr>
      </w:pPr>
      <w:r>
        <w:rPr>
          <w:sz w:val="20"/>
        </w:rPr>
        <w:t>(*): Estimado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4"/>
        <w:ind w:left="755"/>
      </w:pPr>
      <w:r>
        <w:rPr/>
        <w:t>Los coeficientes de regresión lineal (R</w:t>
      </w:r>
      <w:r>
        <w:rPr>
          <w:vertAlign w:val="superscript"/>
        </w:rPr>
        <w:t>2</w:t>
      </w:r>
      <w:r>
        <w:rPr>
          <w:vertAlign w:val="baseline"/>
        </w:rPr>
        <w:t>) para las variables en estudio fueron:</w:t>
      </w:r>
    </w:p>
    <w:p>
      <w:pPr>
        <w:pStyle w:val="BodyText"/>
        <w:rPr>
          <w:sz w:val="30"/>
        </w:rPr>
      </w:pPr>
    </w:p>
    <w:p>
      <w:pPr>
        <w:pStyle w:val="BodyText"/>
        <w:spacing w:before="1"/>
        <w:rPr>
          <w:sz w:val="43"/>
        </w:rPr>
      </w:pPr>
    </w:p>
    <w:p>
      <w:pPr>
        <w:pStyle w:val="ListParagraph"/>
        <w:numPr>
          <w:ilvl w:val="1"/>
          <w:numId w:val="19"/>
        </w:numPr>
        <w:tabs>
          <w:tab w:pos="1295" w:val="left" w:leader="none"/>
          <w:tab w:pos="1296" w:val="left" w:leader="none"/>
        </w:tabs>
        <w:spacing w:line="240" w:lineRule="auto" w:before="0" w:after="0"/>
        <w:ind w:left="1295" w:right="0" w:hanging="361"/>
        <w:jc w:val="left"/>
        <w:rPr>
          <w:sz w:val="24"/>
        </w:rPr>
      </w:pPr>
      <w:r>
        <w:rPr>
          <w:sz w:val="24"/>
        </w:rPr>
        <w:t>Máximo esfuerzo a la compresión (Peak stress): R</w:t>
      </w:r>
      <w:r>
        <w:rPr>
          <w:sz w:val="24"/>
          <w:vertAlign w:val="superscript"/>
        </w:rPr>
        <w:t>2</w:t>
      </w:r>
      <w:r>
        <w:rPr>
          <w:sz w:val="24"/>
          <w:vertAlign w:val="baseline"/>
        </w:rPr>
        <w:t> =</w:t>
      </w:r>
      <w:r>
        <w:rPr>
          <w:spacing w:val="13"/>
          <w:sz w:val="24"/>
          <w:vertAlign w:val="baseline"/>
        </w:rPr>
        <w:t> </w:t>
      </w:r>
      <w:r>
        <w:rPr>
          <w:sz w:val="24"/>
          <w:vertAlign w:val="baseline"/>
        </w:rPr>
        <w:t>0.9671</w:t>
      </w:r>
    </w:p>
    <w:p>
      <w:pPr>
        <w:pStyle w:val="BodyText"/>
        <w:spacing w:before="10"/>
        <w:rPr>
          <w:sz w:val="40"/>
        </w:rPr>
      </w:pPr>
    </w:p>
    <w:p>
      <w:pPr>
        <w:pStyle w:val="ListParagraph"/>
        <w:numPr>
          <w:ilvl w:val="1"/>
          <w:numId w:val="19"/>
        </w:numPr>
        <w:tabs>
          <w:tab w:pos="1295" w:val="left" w:leader="none"/>
          <w:tab w:pos="1296" w:val="left" w:leader="none"/>
          <w:tab w:pos="6516" w:val="left" w:leader="none"/>
        </w:tabs>
        <w:spacing w:line="240" w:lineRule="auto" w:before="0" w:after="0"/>
        <w:ind w:left="1295" w:right="0" w:hanging="361"/>
        <w:jc w:val="left"/>
        <w:rPr>
          <w:sz w:val="24"/>
        </w:rPr>
      </w:pPr>
      <w:r>
        <w:rPr>
          <w:sz w:val="24"/>
        </w:rPr>
        <w:t>Esfuerzo en absorción</w:t>
      </w:r>
      <w:r>
        <w:rPr>
          <w:spacing w:val="-14"/>
          <w:sz w:val="24"/>
        </w:rPr>
        <w:t> </w:t>
      </w:r>
      <w:r>
        <w:rPr>
          <w:sz w:val="24"/>
        </w:rPr>
        <w:t>(Plateau</w:t>
      </w:r>
      <w:r>
        <w:rPr>
          <w:spacing w:val="-4"/>
          <w:sz w:val="24"/>
        </w:rPr>
        <w:t> </w:t>
      </w:r>
      <w:r>
        <w:rPr>
          <w:sz w:val="24"/>
        </w:rPr>
        <w:t>stress):</w:t>
        <w:tab/>
        <w:t>R</w:t>
      </w:r>
      <w:r>
        <w:rPr>
          <w:sz w:val="24"/>
          <w:vertAlign w:val="superscript"/>
        </w:rPr>
        <w:t>2</w:t>
      </w:r>
      <w:r>
        <w:rPr>
          <w:sz w:val="24"/>
          <w:vertAlign w:val="baseline"/>
        </w:rPr>
        <w:t> =</w:t>
      </w:r>
      <w:r>
        <w:rPr>
          <w:spacing w:val="-2"/>
          <w:sz w:val="24"/>
          <w:vertAlign w:val="baseline"/>
        </w:rPr>
        <w:t> </w:t>
      </w:r>
      <w:r>
        <w:rPr>
          <w:sz w:val="24"/>
          <w:vertAlign w:val="baseline"/>
        </w:rPr>
        <w:t>0.9996</w:t>
      </w:r>
    </w:p>
    <w:p>
      <w:pPr>
        <w:pStyle w:val="BodyText"/>
        <w:spacing w:before="9"/>
        <w:rPr>
          <w:sz w:val="40"/>
        </w:rPr>
      </w:pPr>
    </w:p>
    <w:p>
      <w:pPr>
        <w:pStyle w:val="ListParagraph"/>
        <w:numPr>
          <w:ilvl w:val="1"/>
          <w:numId w:val="19"/>
        </w:numPr>
        <w:tabs>
          <w:tab w:pos="1295" w:val="left" w:leader="none"/>
          <w:tab w:pos="1296" w:val="left" w:leader="none"/>
          <w:tab w:pos="6516" w:val="left" w:leader="none"/>
        </w:tabs>
        <w:spacing w:line="240" w:lineRule="auto" w:before="0" w:after="0"/>
        <w:ind w:left="1295" w:right="0" w:hanging="361"/>
        <w:jc w:val="left"/>
        <w:rPr>
          <w:sz w:val="24"/>
        </w:rPr>
      </w:pPr>
      <w:r>
        <w:rPr>
          <w:sz w:val="24"/>
        </w:rPr>
        <w:t>Tenacidad de la</w:t>
      </w:r>
      <w:r>
        <w:rPr>
          <w:spacing w:val="-16"/>
          <w:sz w:val="24"/>
        </w:rPr>
        <w:t> </w:t>
      </w:r>
      <w:r>
        <w:rPr>
          <w:sz w:val="24"/>
        </w:rPr>
        <w:t>espuma</w:t>
      </w:r>
      <w:r>
        <w:rPr>
          <w:spacing w:val="-3"/>
          <w:sz w:val="24"/>
        </w:rPr>
        <w:t> </w:t>
      </w:r>
      <w:r>
        <w:rPr>
          <w:sz w:val="24"/>
        </w:rPr>
        <w:t>(Toughness):</w:t>
        <w:tab/>
        <w:t>R</w:t>
      </w:r>
      <w:r>
        <w:rPr>
          <w:sz w:val="24"/>
          <w:vertAlign w:val="superscript"/>
        </w:rPr>
        <w:t>2</w:t>
      </w:r>
      <w:r>
        <w:rPr>
          <w:sz w:val="24"/>
          <w:vertAlign w:val="baseline"/>
        </w:rPr>
        <w:t> =</w:t>
      </w:r>
      <w:r>
        <w:rPr>
          <w:spacing w:val="-2"/>
          <w:sz w:val="24"/>
          <w:vertAlign w:val="baseline"/>
        </w:rPr>
        <w:t> </w:t>
      </w:r>
      <w:r>
        <w:rPr>
          <w:sz w:val="24"/>
          <w:vertAlign w:val="baseline"/>
        </w:rPr>
        <w:t>0.9919</w:t>
      </w: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56"/>
        <w:ind w:left="790" w:right="788" w:firstLine="0"/>
        <w:jc w:val="center"/>
        <w:rPr>
          <w:rFonts w:ascii="Calibri"/>
          <w:sz w:val="22"/>
        </w:rPr>
      </w:pPr>
      <w:r>
        <w:rPr>
          <w:rFonts w:ascii="Calibri"/>
          <w:sz w:val="22"/>
        </w:rPr>
        <w:t>43</w:t>
      </w:r>
    </w:p>
    <w:p>
      <w:pPr>
        <w:spacing w:after="0"/>
        <w:jc w:val="center"/>
        <w:rPr>
          <w:rFonts w:ascii="Calibri"/>
          <w:sz w:val="22"/>
        </w:rPr>
        <w:sectPr>
          <w:footerReference w:type="default" r:id="rId19"/>
          <w:pgSz w:w="12240" w:h="15840"/>
          <w:pgMar w:footer="0" w:header="0" w:top="1500" w:bottom="280" w:left="1520" w:right="940"/>
        </w:sectPr>
      </w:pPr>
    </w:p>
    <w:p>
      <w:pPr>
        <w:pStyle w:val="BodyText"/>
        <w:spacing w:line="357" w:lineRule="auto" w:before="79"/>
        <w:ind w:left="755" w:right="1060" w:firstLine="336"/>
        <w:jc w:val="both"/>
      </w:pPr>
      <w:r>
        <w:rPr/>
        <w:t>Los valores obtenidos permiten afirmar que existe una relación lineal entre</w:t>
      </w:r>
      <w:r>
        <w:rPr>
          <w:spacing w:val="-20"/>
        </w:rPr>
        <w:t> </w:t>
      </w:r>
      <w:r>
        <w:rPr/>
        <w:t>las</w:t>
      </w:r>
      <w:r>
        <w:rPr>
          <w:spacing w:val="-19"/>
        </w:rPr>
        <w:t> </w:t>
      </w:r>
      <w:r>
        <w:rPr/>
        <w:t>variables</w:t>
      </w:r>
      <w:r>
        <w:rPr>
          <w:spacing w:val="-19"/>
        </w:rPr>
        <w:t> </w:t>
      </w:r>
      <w:r>
        <w:rPr/>
        <w:t>estudiadas</w:t>
      </w:r>
      <w:r>
        <w:rPr>
          <w:spacing w:val="-20"/>
        </w:rPr>
        <w:t> </w:t>
      </w:r>
      <w:r>
        <w:rPr/>
        <w:t>y</w:t>
      </w:r>
      <w:r>
        <w:rPr>
          <w:spacing w:val="-21"/>
        </w:rPr>
        <w:t> </w:t>
      </w:r>
      <w:r>
        <w:rPr/>
        <w:t>el</w:t>
      </w:r>
      <w:r>
        <w:rPr>
          <w:spacing w:val="-20"/>
        </w:rPr>
        <w:t> </w:t>
      </w:r>
      <w:r>
        <w:rPr/>
        <w:t>esfuerzo</w:t>
      </w:r>
      <w:r>
        <w:rPr>
          <w:spacing w:val="-19"/>
        </w:rPr>
        <w:t> </w:t>
      </w:r>
      <w:r>
        <w:rPr/>
        <w:t>de</w:t>
      </w:r>
      <w:r>
        <w:rPr>
          <w:spacing w:val="-20"/>
        </w:rPr>
        <w:t> </w:t>
      </w:r>
      <w:r>
        <w:rPr/>
        <w:t>fluencia</w:t>
      </w:r>
      <w:r>
        <w:rPr>
          <w:spacing w:val="-19"/>
        </w:rPr>
        <w:t> </w:t>
      </w:r>
      <w:r>
        <w:rPr/>
        <w:t>de</w:t>
      </w:r>
      <w:r>
        <w:rPr>
          <w:spacing w:val="-14"/>
        </w:rPr>
        <w:t> </w:t>
      </w:r>
      <w:r>
        <w:rPr/>
        <w:t>la</w:t>
      </w:r>
      <w:r>
        <w:rPr>
          <w:spacing w:val="-19"/>
        </w:rPr>
        <w:t> </w:t>
      </w:r>
      <w:r>
        <w:rPr/>
        <w:t>matriz</w:t>
      </w:r>
      <w:r>
        <w:rPr>
          <w:spacing w:val="-24"/>
        </w:rPr>
        <w:t> </w:t>
      </w:r>
      <w:r>
        <w:rPr/>
        <w:t>metálica, lo cual se traduce en una mayor capacidad de absorción de energía de estos materiales tanto en estado de colada como luego de ser sometidos</w:t>
      </w:r>
      <w:r>
        <w:rPr>
          <w:spacing w:val="-46"/>
        </w:rPr>
        <w:t> </w:t>
      </w:r>
      <w:r>
        <w:rPr/>
        <w:t>a tratamientos térmicos destinados a incrementar la resistencia mecánica de las espumas sintácticas</w:t>
      </w:r>
      <w:r>
        <w:rPr>
          <w:spacing w:val="-1"/>
        </w:rPr>
        <w:t> </w:t>
      </w:r>
      <w:r>
        <w:rPr/>
        <w:t>estudiadas.</w:t>
      </w:r>
    </w:p>
    <w:p>
      <w:pPr>
        <w:pStyle w:val="BodyText"/>
        <w:rPr>
          <w:sz w:val="20"/>
        </w:rPr>
      </w:pPr>
    </w:p>
    <w:p>
      <w:pPr>
        <w:pStyle w:val="BodyText"/>
        <w:rPr>
          <w:sz w:val="20"/>
        </w:rPr>
      </w:pPr>
    </w:p>
    <w:p>
      <w:pPr>
        <w:pStyle w:val="BodyText"/>
        <w:spacing w:before="3"/>
        <w:rPr>
          <w:sz w:val="16"/>
        </w:rPr>
      </w:pPr>
      <w:r>
        <w:rPr/>
        <w:drawing>
          <wp:anchor distT="0" distB="0" distL="0" distR="0" allowOverlap="1" layoutInCell="1" locked="0" behindDoc="0" simplePos="0" relativeHeight="13">
            <wp:simplePos x="0" y="0"/>
            <wp:positionH relativeFrom="page">
              <wp:posOffset>1587737</wp:posOffset>
            </wp:positionH>
            <wp:positionV relativeFrom="paragraph">
              <wp:posOffset>144086</wp:posOffset>
            </wp:positionV>
            <wp:extent cx="4857559" cy="4980432"/>
            <wp:effectExtent l="0" t="0" r="0" b="0"/>
            <wp:wrapTopAndBottom/>
            <wp:docPr id="21" name="image12.jpeg"/>
            <wp:cNvGraphicFramePr>
              <a:graphicFrameLocks noChangeAspect="1"/>
            </wp:cNvGraphicFramePr>
            <a:graphic>
              <a:graphicData uri="http://schemas.openxmlformats.org/drawingml/2006/picture">
                <pic:pic>
                  <pic:nvPicPr>
                    <pic:cNvPr id="22" name="image12.jpeg"/>
                    <pic:cNvPicPr/>
                  </pic:nvPicPr>
                  <pic:blipFill>
                    <a:blip r:embed="rId21" cstate="print"/>
                    <a:stretch>
                      <a:fillRect/>
                    </a:stretch>
                  </pic:blipFill>
                  <pic:spPr>
                    <a:xfrm>
                      <a:off x="0" y="0"/>
                      <a:ext cx="4857559" cy="4980432"/>
                    </a:xfrm>
                    <a:prstGeom prst="rect">
                      <a:avLst/>
                    </a:prstGeom>
                  </pic:spPr>
                </pic:pic>
              </a:graphicData>
            </a:graphic>
          </wp:anchor>
        </w:drawing>
      </w:r>
    </w:p>
    <w:p>
      <w:pPr>
        <w:spacing w:after="0"/>
        <w:rPr>
          <w:sz w:val="16"/>
        </w:rPr>
        <w:sectPr>
          <w:footerReference w:type="default" r:id="rId20"/>
          <w:pgSz w:w="12240" w:h="15840"/>
          <w:pgMar w:footer="1839" w:header="0" w:top="1400" w:bottom="2020" w:left="1520" w:right="940"/>
          <w:pgNumType w:start="38"/>
        </w:sectPr>
      </w:pPr>
    </w:p>
    <w:p>
      <w:pPr>
        <w:spacing w:before="75"/>
        <w:ind w:left="755" w:right="932" w:firstLine="0"/>
        <w:jc w:val="left"/>
        <w:rPr>
          <w:b/>
          <w:sz w:val="18"/>
        </w:rPr>
      </w:pPr>
      <w:r>
        <w:rPr>
          <w:b/>
          <w:sz w:val="18"/>
        </w:rPr>
        <w:t>FIG. 10. Máximo esfuerzo a la compresión, Esfuerzo en absorción y Tenacidad vs. Esfuerzo en fluencia de la matriz metálica.</w:t>
      </w:r>
    </w:p>
    <w:p>
      <w:pPr>
        <w:spacing w:after="0"/>
        <w:jc w:val="left"/>
        <w:rPr>
          <w:sz w:val="18"/>
        </w:rPr>
        <w:sectPr>
          <w:pgSz w:w="12240" w:h="15840"/>
          <w:pgMar w:header="0" w:footer="1839" w:top="1400" w:bottom="2060" w:left="1520" w:right="940"/>
        </w:sectPr>
      </w:pPr>
    </w:p>
    <w:p>
      <w:pPr>
        <w:pStyle w:val="BodyText"/>
        <w:rPr>
          <w:b/>
          <w:sz w:val="20"/>
        </w:rPr>
      </w:pPr>
    </w:p>
    <w:p>
      <w:pPr>
        <w:pStyle w:val="BodyText"/>
        <w:spacing w:before="1"/>
        <w:rPr>
          <w:b/>
          <w:sz w:val="22"/>
        </w:rPr>
      </w:pPr>
    </w:p>
    <w:p>
      <w:pPr>
        <w:pStyle w:val="Heading2"/>
        <w:numPr>
          <w:ilvl w:val="0"/>
          <w:numId w:val="6"/>
        </w:numPr>
        <w:tabs>
          <w:tab w:pos="1566" w:val="left" w:leader="none"/>
          <w:tab w:pos="1567" w:val="left" w:leader="none"/>
        </w:tabs>
        <w:spacing w:line="240" w:lineRule="auto" w:before="93" w:after="0"/>
        <w:ind w:left="1566" w:right="0" w:hanging="452"/>
        <w:jc w:val="left"/>
      </w:pPr>
      <w:r>
        <w:rPr/>
        <w:t>CONCLUSIONES Y RECOMENDACIONES</w:t>
      </w:r>
    </w:p>
    <w:p>
      <w:pPr>
        <w:pStyle w:val="BodyText"/>
        <w:rPr>
          <w:b/>
          <w:sz w:val="26"/>
        </w:rPr>
      </w:pPr>
    </w:p>
    <w:p>
      <w:pPr>
        <w:pStyle w:val="BodyText"/>
        <w:rPr>
          <w:b/>
          <w:sz w:val="26"/>
        </w:rPr>
      </w:pPr>
    </w:p>
    <w:p>
      <w:pPr>
        <w:pStyle w:val="BodyText"/>
        <w:spacing w:before="11"/>
        <w:rPr>
          <w:b/>
          <w:sz w:val="28"/>
        </w:rPr>
      </w:pPr>
    </w:p>
    <w:p>
      <w:pPr>
        <w:pStyle w:val="ListParagraph"/>
        <w:numPr>
          <w:ilvl w:val="1"/>
          <w:numId w:val="20"/>
        </w:numPr>
        <w:tabs>
          <w:tab w:pos="1476" w:val="left" w:leader="none"/>
        </w:tabs>
        <w:spacing w:line="360" w:lineRule="auto" w:before="0" w:after="0"/>
        <w:ind w:left="1206" w:right="749" w:hanging="406"/>
        <w:jc w:val="both"/>
        <w:rPr>
          <w:sz w:val="24"/>
        </w:rPr>
      </w:pPr>
      <w:r>
        <w:rPr>
          <w:sz w:val="24"/>
        </w:rPr>
        <w:t>Se ha estudiado la microestructura y las propiedades de compresión bajo condiciones cuasi-estáticas de las espumas sintácticas constituidas por matrices de aluminio (Al-A206) y magnesio (Mg-AZ91) y esferas huecas de SiC con el fin de determinar el efecto de la resistencia de la matriz.</w:t>
      </w:r>
    </w:p>
    <w:p>
      <w:pPr>
        <w:pStyle w:val="BodyText"/>
        <w:rPr>
          <w:sz w:val="26"/>
        </w:rPr>
      </w:pPr>
    </w:p>
    <w:p>
      <w:pPr>
        <w:pStyle w:val="BodyText"/>
        <w:spacing w:before="9"/>
        <w:rPr>
          <w:sz w:val="37"/>
        </w:rPr>
      </w:pPr>
    </w:p>
    <w:p>
      <w:pPr>
        <w:pStyle w:val="ListParagraph"/>
        <w:numPr>
          <w:ilvl w:val="1"/>
          <w:numId w:val="20"/>
        </w:numPr>
        <w:tabs>
          <w:tab w:pos="1476" w:val="left" w:leader="none"/>
        </w:tabs>
        <w:spacing w:line="360" w:lineRule="auto" w:before="0" w:after="0"/>
        <w:ind w:left="1206" w:right="750" w:hanging="406"/>
        <w:jc w:val="both"/>
        <w:rPr>
          <w:sz w:val="24"/>
        </w:rPr>
      </w:pPr>
      <w:r>
        <w:rPr>
          <w:sz w:val="24"/>
        </w:rPr>
        <w:t>La microestructura de las espumas sintácticas de Al-A206 reveló la presencia de fases interdendríticas conteniendo hierro, presumiblemente de la disolución de hierro del molde durante el procesamiento. Los tratamientos térmicos aplicados, disolvieron parcialmente y precipitaron la red intermetálica</w:t>
      </w:r>
      <w:r>
        <w:rPr>
          <w:spacing w:val="-4"/>
          <w:sz w:val="24"/>
        </w:rPr>
        <w:t> </w:t>
      </w:r>
      <w:r>
        <w:rPr>
          <w:sz w:val="24"/>
        </w:rPr>
        <w:t>formada.</w:t>
      </w:r>
    </w:p>
    <w:p>
      <w:pPr>
        <w:pStyle w:val="BodyText"/>
        <w:rPr>
          <w:sz w:val="26"/>
        </w:rPr>
      </w:pPr>
    </w:p>
    <w:p>
      <w:pPr>
        <w:pStyle w:val="BodyText"/>
        <w:spacing w:before="2"/>
        <w:rPr>
          <w:sz w:val="27"/>
        </w:rPr>
      </w:pPr>
    </w:p>
    <w:p>
      <w:pPr>
        <w:pStyle w:val="ListParagraph"/>
        <w:numPr>
          <w:ilvl w:val="1"/>
          <w:numId w:val="20"/>
        </w:numPr>
        <w:tabs>
          <w:tab w:pos="1476" w:val="left" w:leader="none"/>
        </w:tabs>
        <w:spacing w:line="360" w:lineRule="auto" w:before="0" w:after="0"/>
        <w:ind w:left="1206" w:right="749" w:hanging="406"/>
        <w:jc w:val="both"/>
        <w:rPr>
          <w:sz w:val="24"/>
        </w:rPr>
      </w:pPr>
      <w:r>
        <w:rPr>
          <w:sz w:val="24"/>
        </w:rPr>
        <w:t>La</w:t>
      </w:r>
      <w:r>
        <w:rPr>
          <w:spacing w:val="-10"/>
          <w:sz w:val="24"/>
        </w:rPr>
        <w:t> </w:t>
      </w:r>
      <w:r>
        <w:rPr>
          <w:sz w:val="24"/>
        </w:rPr>
        <w:t>microestructura</w:t>
      </w:r>
      <w:r>
        <w:rPr>
          <w:spacing w:val="-9"/>
          <w:sz w:val="24"/>
        </w:rPr>
        <w:t> </w:t>
      </w:r>
      <w:r>
        <w:rPr>
          <w:sz w:val="24"/>
        </w:rPr>
        <w:t>de</w:t>
      </w:r>
      <w:r>
        <w:rPr>
          <w:spacing w:val="-5"/>
          <w:sz w:val="24"/>
        </w:rPr>
        <w:t> </w:t>
      </w:r>
      <w:r>
        <w:rPr>
          <w:sz w:val="24"/>
        </w:rPr>
        <w:t>la</w:t>
      </w:r>
      <w:r>
        <w:rPr>
          <w:spacing w:val="-8"/>
          <w:sz w:val="24"/>
        </w:rPr>
        <w:t> </w:t>
      </w:r>
      <w:r>
        <w:rPr>
          <w:sz w:val="24"/>
        </w:rPr>
        <w:t>espuma</w:t>
      </w:r>
      <w:r>
        <w:rPr>
          <w:spacing w:val="-8"/>
          <w:sz w:val="24"/>
        </w:rPr>
        <w:t> </w:t>
      </w:r>
      <w:r>
        <w:rPr>
          <w:sz w:val="24"/>
        </w:rPr>
        <w:t>sintáctica</w:t>
      </w:r>
      <w:r>
        <w:rPr>
          <w:spacing w:val="-8"/>
          <w:sz w:val="24"/>
        </w:rPr>
        <w:t> </w:t>
      </w:r>
      <w:r>
        <w:rPr>
          <w:sz w:val="24"/>
        </w:rPr>
        <w:t>de</w:t>
      </w:r>
      <w:r>
        <w:rPr>
          <w:spacing w:val="-6"/>
          <w:sz w:val="24"/>
        </w:rPr>
        <w:t> </w:t>
      </w:r>
      <w:r>
        <w:rPr>
          <w:sz w:val="24"/>
        </w:rPr>
        <w:t>Mg-AZ91</w:t>
      </w:r>
      <w:r>
        <w:rPr>
          <w:spacing w:val="-7"/>
          <w:sz w:val="24"/>
        </w:rPr>
        <w:t> </w:t>
      </w:r>
      <w:r>
        <w:rPr>
          <w:sz w:val="24"/>
        </w:rPr>
        <w:t>presentó</w:t>
      </w:r>
      <w:r>
        <w:rPr>
          <w:spacing w:val="-15"/>
          <w:sz w:val="24"/>
        </w:rPr>
        <w:t> </w:t>
      </w:r>
      <w:r>
        <w:rPr>
          <w:sz w:val="24"/>
        </w:rPr>
        <w:t>cierto refinamiento en comparación con la matriz metálica colada, </w:t>
      </w:r>
      <w:r>
        <w:rPr>
          <w:spacing w:val="-3"/>
          <w:sz w:val="24"/>
        </w:rPr>
        <w:t>lo </w:t>
      </w:r>
      <w:r>
        <w:rPr>
          <w:sz w:val="24"/>
        </w:rPr>
        <w:t>cual probablemente se deba a que la solidificación del líquido se vio limitada por los espacios restringidos entre las esferas. No se encontró evidencia de hierro en el interior de la</w:t>
      </w:r>
      <w:r>
        <w:rPr>
          <w:spacing w:val="-2"/>
          <w:sz w:val="24"/>
        </w:rPr>
        <w:t> </w:t>
      </w:r>
      <w:r>
        <w:rPr>
          <w:sz w:val="24"/>
        </w:rPr>
        <w:t>matriz.</w:t>
      </w:r>
    </w:p>
    <w:p>
      <w:pPr>
        <w:pStyle w:val="BodyText"/>
        <w:rPr>
          <w:sz w:val="26"/>
        </w:rPr>
      </w:pPr>
    </w:p>
    <w:p>
      <w:pPr>
        <w:pStyle w:val="BodyText"/>
        <w:spacing w:before="11"/>
        <w:rPr>
          <w:sz w:val="26"/>
        </w:rPr>
      </w:pPr>
    </w:p>
    <w:p>
      <w:pPr>
        <w:pStyle w:val="ListParagraph"/>
        <w:numPr>
          <w:ilvl w:val="1"/>
          <w:numId w:val="20"/>
        </w:numPr>
        <w:tabs>
          <w:tab w:pos="1476" w:val="left" w:leader="none"/>
        </w:tabs>
        <w:spacing w:line="360" w:lineRule="auto" w:before="0" w:after="0"/>
        <w:ind w:left="1206" w:right="748" w:hanging="406"/>
        <w:jc w:val="both"/>
        <w:rPr>
          <w:sz w:val="24"/>
        </w:rPr>
      </w:pPr>
      <w:r>
        <w:rPr>
          <w:sz w:val="24"/>
        </w:rPr>
        <w:t>El máximo esfuerzo a la compresión, el esfuerzo en absorción y la tenacidad de las espumas sintácticas de aluminio espumas presentan una relación lineal directa con el esfuerzo de fluencia de la matriz. Los incrementos para el máximo esfuerzo a la compresión fueron de 13% para la condición T4 y 24% para la condición T7, referidos a la</w:t>
      </w:r>
      <w:r>
        <w:rPr>
          <w:spacing w:val="2"/>
          <w:sz w:val="24"/>
        </w:rPr>
        <w:t> </w:t>
      </w:r>
      <w:r>
        <w:rPr>
          <w:sz w:val="24"/>
        </w:rPr>
        <w:t>condición</w:t>
      </w:r>
    </w:p>
    <w:p>
      <w:pPr>
        <w:spacing w:after="0" w:line="360" w:lineRule="auto"/>
        <w:jc w:val="both"/>
        <w:rPr>
          <w:sz w:val="24"/>
        </w:rPr>
        <w:sectPr>
          <w:pgSz w:w="12240" w:h="15840"/>
          <w:pgMar w:header="0" w:footer="1839" w:top="1500" w:bottom="2060" w:left="1520" w:right="940"/>
        </w:sectPr>
      </w:pPr>
    </w:p>
    <w:p>
      <w:pPr>
        <w:pStyle w:val="BodyText"/>
        <w:spacing w:line="360" w:lineRule="auto" w:before="79"/>
        <w:ind w:left="1206" w:right="749"/>
        <w:jc w:val="both"/>
      </w:pPr>
      <w:r>
        <w:rPr/>
        <w:t>en estado de colada. Para los mismos tratamientos térmicos, los incrementos para el esfuerzo en absorción fueron 27% y 37%, mientras que para la tenacidad de la espuma los valores fueron de 17% y 26%, respectivamente.</w:t>
      </w:r>
    </w:p>
    <w:p>
      <w:pPr>
        <w:pStyle w:val="BodyText"/>
        <w:rPr>
          <w:sz w:val="26"/>
        </w:rPr>
      </w:pPr>
    </w:p>
    <w:p>
      <w:pPr>
        <w:pStyle w:val="BodyText"/>
        <w:rPr>
          <w:sz w:val="26"/>
        </w:rPr>
      </w:pPr>
    </w:p>
    <w:p>
      <w:pPr>
        <w:pStyle w:val="BodyText"/>
        <w:rPr>
          <w:sz w:val="26"/>
        </w:rPr>
      </w:pPr>
    </w:p>
    <w:p>
      <w:pPr>
        <w:pStyle w:val="ListParagraph"/>
        <w:numPr>
          <w:ilvl w:val="1"/>
          <w:numId w:val="20"/>
        </w:numPr>
        <w:tabs>
          <w:tab w:pos="2362" w:val="left" w:leader="none"/>
        </w:tabs>
        <w:spacing w:line="357" w:lineRule="auto" w:before="162" w:after="0"/>
        <w:ind w:left="1206" w:right="757" w:firstLine="0"/>
        <w:jc w:val="both"/>
        <w:rPr>
          <w:sz w:val="24"/>
        </w:rPr>
      </w:pPr>
      <w:r>
        <w:rPr>
          <w:sz w:val="24"/>
        </w:rPr>
        <w:t>Los coeficientes de regresión lineal obtenidos para las variables estudiadas fueron 0.9671, 0.9996 y 0.9919 para el máximo esfuerzo a la compresión, esfuerzo en absorción y tenacidad, respectivamente. Los valores obtenidos permiten afirmar que existe una fuerte relación lineal entre las variables estudiadas y el esfuerzo de fluencia de </w:t>
      </w:r>
      <w:r>
        <w:rPr>
          <w:spacing w:val="4"/>
          <w:sz w:val="24"/>
        </w:rPr>
        <w:t>la </w:t>
      </w:r>
      <w:r>
        <w:rPr>
          <w:sz w:val="24"/>
        </w:rPr>
        <w:t>matriz metálica, con lo cual son validadas las dos hipótesis planteadas para el presente</w:t>
      </w:r>
      <w:r>
        <w:rPr>
          <w:spacing w:val="36"/>
          <w:sz w:val="24"/>
        </w:rPr>
        <w:t> </w:t>
      </w:r>
      <w:r>
        <w:rPr>
          <w:sz w:val="24"/>
        </w:rPr>
        <w:t>estudio.</w:t>
      </w:r>
    </w:p>
    <w:p>
      <w:pPr>
        <w:pStyle w:val="BodyText"/>
        <w:rPr>
          <w:sz w:val="26"/>
        </w:rPr>
      </w:pPr>
    </w:p>
    <w:p>
      <w:pPr>
        <w:pStyle w:val="BodyText"/>
        <w:spacing w:before="10"/>
        <w:rPr>
          <w:sz w:val="38"/>
        </w:rPr>
      </w:pPr>
    </w:p>
    <w:p>
      <w:pPr>
        <w:pStyle w:val="ListParagraph"/>
        <w:numPr>
          <w:ilvl w:val="1"/>
          <w:numId w:val="20"/>
        </w:numPr>
        <w:tabs>
          <w:tab w:pos="1476" w:val="left" w:leader="none"/>
        </w:tabs>
        <w:spacing w:line="360" w:lineRule="auto" w:before="0" w:after="0"/>
        <w:ind w:left="1206" w:right="745" w:hanging="406"/>
        <w:jc w:val="both"/>
        <w:rPr>
          <w:sz w:val="24"/>
        </w:rPr>
      </w:pPr>
      <w:r>
        <w:rPr>
          <w:sz w:val="24"/>
        </w:rPr>
        <w:t>Las espumas sintácticas de Al-A206/SiC y Mg-AZ91/SiC, sintetizadas enel presente estudio, presentaron un esfuerzo máximo a la compresión, un esfuerzo en absorción y una tenacidad especifica más elevadas que muchas de las espumas sintácticas reportadas en la literatura; lo cual nos conduce a diversos enfoques en cuanto a cómo optimizar las propiedades de las espumas sintácticas en matriz metálica. El fortalecimiento de la matriz mediante tratamientos térmicos demostró ser una manera eficaz para mejorar las propiedades específicas de las espumas sintácticas</w:t>
      </w:r>
      <w:r>
        <w:rPr>
          <w:spacing w:val="-3"/>
          <w:sz w:val="24"/>
        </w:rPr>
        <w:t> </w:t>
      </w:r>
      <w:r>
        <w:rPr>
          <w:sz w:val="24"/>
        </w:rPr>
        <w:t>estudiadas.</w:t>
      </w:r>
    </w:p>
    <w:p>
      <w:pPr>
        <w:spacing w:after="0" w:line="360" w:lineRule="auto"/>
        <w:jc w:val="both"/>
        <w:rPr>
          <w:sz w:val="24"/>
        </w:rPr>
        <w:sectPr>
          <w:pgSz w:w="12240" w:h="15840"/>
          <w:pgMar w:header="0" w:footer="1839" w:top="1400" w:bottom="2060" w:left="1520" w:right="940"/>
        </w:sectPr>
      </w:pPr>
    </w:p>
    <w:p>
      <w:pPr>
        <w:pStyle w:val="BodyText"/>
        <w:rPr>
          <w:sz w:val="16"/>
        </w:rPr>
      </w:pPr>
    </w:p>
    <w:p>
      <w:pPr>
        <w:pStyle w:val="Heading2"/>
        <w:numPr>
          <w:ilvl w:val="0"/>
          <w:numId w:val="6"/>
        </w:numPr>
        <w:tabs>
          <w:tab w:pos="1835" w:val="left" w:leader="none"/>
          <w:tab w:pos="1836" w:val="left" w:leader="none"/>
        </w:tabs>
        <w:spacing w:line="240" w:lineRule="auto" w:before="93" w:after="0"/>
        <w:ind w:left="1835" w:right="0" w:hanging="721"/>
        <w:jc w:val="left"/>
      </w:pPr>
      <w:r>
        <w:rPr/>
        <w:t>FUENTES DE</w:t>
      </w:r>
      <w:r>
        <w:rPr>
          <w:spacing w:val="-1"/>
        </w:rPr>
        <w:t> </w:t>
      </w:r>
      <w:r>
        <w:rPr/>
        <w:t>INFORMACION</w:t>
      </w:r>
    </w:p>
    <w:p>
      <w:pPr>
        <w:pStyle w:val="BodyText"/>
        <w:rPr>
          <w:b/>
          <w:sz w:val="26"/>
        </w:rPr>
      </w:pPr>
    </w:p>
    <w:p>
      <w:pPr>
        <w:pStyle w:val="BodyText"/>
        <w:rPr>
          <w:b/>
          <w:sz w:val="26"/>
        </w:rPr>
      </w:pPr>
    </w:p>
    <w:p>
      <w:pPr>
        <w:pStyle w:val="BodyText"/>
        <w:spacing w:before="7"/>
        <w:rPr>
          <w:b/>
          <w:sz w:val="31"/>
        </w:rPr>
      </w:pPr>
    </w:p>
    <w:p>
      <w:pPr>
        <w:pStyle w:val="ListParagraph"/>
        <w:numPr>
          <w:ilvl w:val="2"/>
          <w:numId w:val="20"/>
        </w:numPr>
        <w:tabs>
          <w:tab w:pos="1296" w:val="left" w:leader="none"/>
        </w:tabs>
        <w:spacing w:line="360" w:lineRule="auto" w:before="1" w:after="0"/>
        <w:ind w:left="1295" w:right="1233" w:hanging="360"/>
        <w:jc w:val="both"/>
        <w:rPr>
          <w:sz w:val="24"/>
        </w:rPr>
      </w:pPr>
      <w:r>
        <w:rPr>
          <w:sz w:val="24"/>
        </w:rPr>
        <w:t>Gupta N, Metal Matrix Syntactic Foam: Processing, microstructure, properties,</w:t>
      </w:r>
      <w:r>
        <w:rPr>
          <w:spacing w:val="-15"/>
          <w:sz w:val="24"/>
        </w:rPr>
        <w:t> </w:t>
      </w:r>
      <w:r>
        <w:rPr>
          <w:sz w:val="24"/>
        </w:rPr>
        <w:t>applications.</w:t>
      </w:r>
      <w:r>
        <w:rPr>
          <w:spacing w:val="-14"/>
          <w:sz w:val="24"/>
        </w:rPr>
        <w:t> </w:t>
      </w:r>
      <w:r>
        <w:rPr>
          <w:sz w:val="24"/>
        </w:rPr>
        <w:t>Chapter</w:t>
      </w:r>
      <w:r>
        <w:rPr>
          <w:spacing w:val="-17"/>
          <w:sz w:val="24"/>
        </w:rPr>
        <w:t> </w:t>
      </w:r>
      <w:r>
        <w:rPr>
          <w:sz w:val="24"/>
        </w:rPr>
        <w:t>1,</w:t>
      </w:r>
      <w:r>
        <w:rPr>
          <w:spacing w:val="-16"/>
          <w:sz w:val="24"/>
        </w:rPr>
        <w:t> </w:t>
      </w:r>
      <w:r>
        <w:rPr>
          <w:sz w:val="24"/>
        </w:rPr>
        <w:t>ed.</w:t>
      </w:r>
      <w:r>
        <w:rPr>
          <w:spacing w:val="-15"/>
          <w:sz w:val="24"/>
        </w:rPr>
        <w:t> </w:t>
      </w:r>
      <w:r>
        <w:rPr>
          <w:sz w:val="24"/>
        </w:rPr>
        <w:t>Gupta</w:t>
      </w:r>
      <w:r>
        <w:rPr>
          <w:spacing w:val="-18"/>
          <w:sz w:val="24"/>
        </w:rPr>
        <w:t> </w:t>
      </w:r>
      <w:r>
        <w:rPr>
          <w:sz w:val="24"/>
        </w:rPr>
        <w:t>N,</w:t>
      </w:r>
      <w:r>
        <w:rPr>
          <w:spacing w:val="-16"/>
          <w:sz w:val="24"/>
        </w:rPr>
        <w:t> </w:t>
      </w:r>
      <w:r>
        <w:rPr>
          <w:sz w:val="24"/>
        </w:rPr>
        <w:t>Rohatgi</w:t>
      </w:r>
      <w:r>
        <w:rPr>
          <w:spacing w:val="-16"/>
          <w:sz w:val="24"/>
        </w:rPr>
        <w:t> </w:t>
      </w:r>
      <w:r>
        <w:rPr>
          <w:sz w:val="24"/>
        </w:rPr>
        <w:t>P</w:t>
      </w:r>
      <w:r>
        <w:rPr>
          <w:spacing w:val="-15"/>
          <w:sz w:val="24"/>
        </w:rPr>
        <w:t> </w:t>
      </w:r>
      <w:r>
        <w:rPr>
          <w:sz w:val="24"/>
        </w:rPr>
        <w:t>(DEStech Publications, Inc);</w:t>
      </w:r>
      <w:r>
        <w:rPr>
          <w:spacing w:val="-2"/>
          <w:sz w:val="24"/>
        </w:rPr>
        <w:t> </w:t>
      </w:r>
      <w:r>
        <w:rPr>
          <w:sz w:val="24"/>
        </w:rPr>
        <w:t>2015.</w:t>
      </w:r>
    </w:p>
    <w:p>
      <w:pPr>
        <w:pStyle w:val="BodyText"/>
        <w:rPr>
          <w:sz w:val="26"/>
        </w:rPr>
      </w:pPr>
    </w:p>
    <w:p>
      <w:pPr>
        <w:pStyle w:val="BodyText"/>
        <w:spacing w:before="7"/>
        <w:rPr>
          <w:sz w:val="25"/>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Rohatgi PK, Guo RQ, Iksan H, Borchelt EJ, Asthana R. Mater. Sci.</w:t>
      </w:r>
      <w:r>
        <w:rPr>
          <w:spacing w:val="-23"/>
          <w:sz w:val="24"/>
        </w:rPr>
        <w:t> </w:t>
      </w:r>
      <w:r>
        <w:rPr>
          <w:sz w:val="24"/>
        </w:rPr>
        <w:t>Eng.</w:t>
      </w:r>
    </w:p>
    <w:p>
      <w:pPr>
        <w:pStyle w:val="BodyText"/>
        <w:rPr>
          <w:sz w:val="26"/>
        </w:rPr>
      </w:pPr>
    </w:p>
    <w:p>
      <w:pPr>
        <w:pStyle w:val="BodyText"/>
        <w:spacing w:before="172"/>
        <w:ind w:left="1295"/>
      </w:pPr>
      <w:r>
        <w:rPr/>
        <w:t>A. 1998; 244:22-30.</w:t>
      </w:r>
    </w:p>
    <w:p>
      <w:pPr>
        <w:pStyle w:val="BodyText"/>
        <w:rPr>
          <w:sz w:val="26"/>
        </w:rPr>
      </w:pPr>
    </w:p>
    <w:p>
      <w:pPr>
        <w:pStyle w:val="BodyText"/>
        <w:rPr>
          <w:sz w:val="26"/>
        </w:rPr>
      </w:pPr>
    </w:p>
    <w:p>
      <w:pPr>
        <w:pStyle w:val="BodyText"/>
        <w:spacing w:before="5"/>
        <w:rPr>
          <w:sz w:val="20"/>
        </w:rPr>
      </w:pPr>
    </w:p>
    <w:p>
      <w:pPr>
        <w:pStyle w:val="ListParagraph"/>
        <w:numPr>
          <w:ilvl w:val="2"/>
          <w:numId w:val="20"/>
        </w:numPr>
        <w:tabs>
          <w:tab w:pos="1296" w:val="left" w:leader="none"/>
        </w:tabs>
        <w:spacing w:line="360" w:lineRule="auto" w:before="0" w:after="0"/>
        <w:ind w:left="1295" w:right="878" w:hanging="360"/>
        <w:jc w:val="left"/>
        <w:rPr>
          <w:sz w:val="24"/>
        </w:rPr>
      </w:pPr>
      <w:r>
        <w:rPr>
          <w:sz w:val="24"/>
        </w:rPr>
        <w:t>Rohatgi</w:t>
      </w:r>
      <w:r>
        <w:rPr>
          <w:spacing w:val="-10"/>
          <w:sz w:val="24"/>
        </w:rPr>
        <w:t> </w:t>
      </w:r>
      <w:r>
        <w:rPr>
          <w:sz w:val="24"/>
        </w:rPr>
        <w:t>P,</w:t>
      </w:r>
      <w:r>
        <w:rPr>
          <w:spacing w:val="-10"/>
          <w:sz w:val="24"/>
        </w:rPr>
        <w:t> </w:t>
      </w:r>
      <w:r>
        <w:rPr>
          <w:sz w:val="24"/>
        </w:rPr>
        <w:t>Kim</w:t>
      </w:r>
      <w:r>
        <w:rPr>
          <w:spacing w:val="-8"/>
          <w:sz w:val="24"/>
        </w:rPr>
        <w:t> </w:t>
      </w:r>
      <w:r>
        <w:rPr>
          <w:sz w:val="24"/>
        </w:rPr>
        <w:t>J,</w:t>
      </w:r>
      <w:r>
        <w:rPr>
          <w:spacing w:val="-13"/>
          <w:sz w:val="24"/>
        </w:rPr>
        <w:t> </w:t>
      </w:r>
      <w:r>
        <w:rPr>
          <w:sz w:val="24"/>
        </w:rPr>
        <w:t>Gupta</w:t>
      </w:r>
      <w:r>
        <w:rPr>
          <w:spacing w:val="-8"/>
          <w:sz w:val="24"/>
        </w:rPr>
        <w:t> </w:t>
      </w:r>
      <w:r>
        <w:rPr>
          <w:sz w:val="24"/>
        </w:rPr>
        <w:t>N,</w:t>
      </w:r>
      <w:r>
        <w:rPr>
          <w:spacing w:val="-12"/>
          <w:sz w:val="24"/>
        </w:rPr>
        <w:t> </w:t>
      </w:r>
      <w:r>
        <w:rPr>
          <w:sz w:val="24"/>
        </w:rPr>
        <w:t>Alaraj</w:t>
      </w:r>
      <w:r>
        <w:rPr>
          <w:spacing w:val="-11"/>
          <w:sz w:val="24"/>
        </w:rPr>
        <w:t> </w:t>
      </w:r>
      <w:r>
        <w:rPr>
          <w:sz w:val="24"/>
        </w:rPr>
        <w:t>S,</w:t>
      </w:r>
      <w:r>
        <w:rPr>
          <w:spacing w:val="-11"/>
          <w:sz w:val="24"/>
        </w:rPr>
        <w:t> </w:t>
      </w:r>
      <w:r>
        <w:rPr>
          <w:sz w:val="24"/>
        </w:rPr>
        <w:t>Daoud</w:t>
      </w:r>
      <w:r>
        <w:rPr>
          <w:spacing w:val="-10"/>
          <w:sz w:val="24"/>
        </w:rPr>
        <w:t> </w:t>
      </w:r>
      <w:r>
        <w:rPr>
          <w:sz w:val="24"/>
        </w:rPr>
        <w:t>A.</w:t>
      </w:r>
      <w:r>
        <w:rPr>
          <w:spacing w:val="-11"/>
          <w:sz w:val="24"/>
        </w:rPr>
        <w:t> </w:t>
      </w:r>
      <w:r>
        <w:rPr>
          <w:sz w:val="24"/>
        </w:rPr>
        <w:t>Composites</w:t>
      </w:r>
      <w:r>
        <w:rPr>
          <w:spacing w:val="-14"/>
          <w:sz w:val="24"/>
        </w:rPr>
        <w:t> </w:t>
      </w:r>
      <w:r>
        <w:rPr>
          <w:sz w:val="24"/>
        </w:rPr>
        <w:t>Part</w:t>
      </w:r>
      <w:r>
        <w:rPr>
          <w:spacing w:val="-12"/>
          <w:sz w:val="24"/>
        </w:rPr>
        <w:t> </w:t>
      </w:r>
      <w:r>
        <w:rPr>
          <w:sz w:val="24"/>
        </w:rPr>
        <w:t>A.</w:t>
      </w:r>
      <w:r>
        <w:rPr>
          <w:spacing w:val="-13"/>
          <w:sz w:val="24"/>
        </w:rPr>
        <w:t> </w:t>
      </w:r>
      <w:r>
        <w:rPr>
          <w:sz w:val="24"/>
        </w:rPr>
        <w:t>2006; 47:430-7.</w:t>
      </w:r>
    </w:p>
    <w:p>
      <w:pPr>
        <w:pStyle w:val="BodyText"/>
        <w:rPr>
          <w:sz w:val="26"/>
        </w:rPr>
      </w:pPr>
    </w:p>
    <w:p>
      <w:pPr>
        <w:pStyle w:val="BodyText"/>
        <w:spacing w:before="9"/>
        <w:rPr>
          <w:sz w:val="25"/>
        </w:rPr>
      </w:pPr>
    </w:p>
    <w:p>
      <w:pPr>
        <w:pStyle w:val="ListParagraph"/>
        <w:numPr>
          <w:ilvl w:val="2"/>
          <w:numId w:val="20"/>
        </w:numPr>
        <w:tabs>
          <w:tab w:pos="1296" w:val="left" w:leader="none"/>
        </w:tabs>
        <w:spacing w:line="362" w:lineRule="auto" w:before="0" w:after="0"/>
        <w:ind w:left="1295" w:right="1043" w:hanging="360"/>
        <w:jc w:val="left"/>
        <w:rPr>
          <w:sz w:val="24"/>
        </w:rPr>
      </w:pPr>
      <w:r>
        <w:rPr>
          <w:sz w:val="24"/>
        </w:rPr>
        <w:t>Balch</w:t>
      </w:r>
      <w:r>
        <w:rPr>
          <w:spacing w:val="-11"/>
          <w:sz w:val="24"/>
        </w:rPr>
        <w:t> </w:t>
      </w:r>
      <w:r>
        <w:rPr>
          <w:sz w:val="24"/>
        </w:rPr>
        <w:t>DK,</w:t>
      </w:r>
      <w:r>
        <w:rPr>
          <w:spacing w:val="-12"/>
          <w:sz w:val="24"/>
        </w:rPr>
        <w:t> </w:t>
      </w:r>
      <w:r>
        <w:rPr>
          <w:sz w:val="24"/>
        </w:rPr>
        <w:t>O’Dwyer</w:t>
      </w:r>
      <w:r>
        <w:rPr>
          <w:spacing w:val="-12"/>
          <w:sz w:val="24"/>
        </w:rPr>
        <w:t> </w:t>
      </w:r>
      <w:r>
        <w:rPr>
          <w:sz w:val="24"/>
        </w:rPr>
        <w:t>JG,</w:t>
      </w:r>
      <w:r>
        <w:rPr>
          <w:spacing w:val="-11"/>
          <w:sz w:val="24"/>
        </w:rPr>
        <w:t> </w:t>
      </w:r>
      <w:r>
        <w:rPr>
          <w:sz w:val="24"/>
        </w:rPr>
        <w:t>Davis</w:t>
      </w:r>
      <w:r>
        <w:rPr>
          <w:spacing w:val="-12"/>
          <w:sz w:val="24"/>
        </w:rPr>
        <w:t> </w:t>
      </w:r>
      <w:r>
        <w:rPr>
          <w:sz w:val="24"/>
        </w:rPr>
        <w:t>GR,</w:t>
      </w:r>
      <w:r>
        <w:rPr>
          <w:spacing w:val="-11"/>
          <w:sz w:val="24"/>
        </w:rPr>
        <w:t> </w:t>
      </w:r>
      <w:r>
        <w:rPr>
          <w:sz w:val="24"/>
        </w:rPr>
        <w:t>Cady</w:t>
      </w:r>
      <w:r>
        <w:rPr>
          <w:spacing w:val="-14"/>
          <w:sz w:val="24"/>
        </w:rPr>
        <w:t> </w:t>
      </w:r>
      <w:r>
        <w:rPr>
          <w:sz w:val="24"/>
        </w:rPr>
        <w:t>CM,</w:t>
      </w:r>
      <w:r>
        <w:rPr>
          <w:spacing w:val="-11"/>
          <w:sz w:val="24"/>
        </w:rPr>
        <w:t> </w:t>
      </w:r>
      <w:r>
        <w:rPr>
          <w:sz w:val="24"/>
        </w:rPr>
        <w:t>Gray</w:t>
      </w:r>
      <w:r>
        <w:rPr>
          <w:spacing w:val="-14"/>
          <w:sz w:val="24"/>
        </w:rPr>
        <w:t> </w:t>
      </w:r>
      <w:r>
        <w:rPr>
          <w:sz w:val="24"/>
        </w:rPr>
        <w:t>III</w:t>
      </w:r>
      <w:r>
        <w:rPr>
          <w:spacing w:val="-11"/>
          <w:sz w:val="24"/>
        </w:rPr>
        <w:t> </w:t>
      </w:r>
      <w:r>
        <w:rPr>
          <w:sz w:val="24"/>
        </w:rPr>
        <w:t>GT,</w:t>
      </w:r>
      <w:r>
        <w:rPr>
          <w:spacing w:val="-11"/>
          <w:sz w:val="24"/>
        </w:rPr>
        <w:t> </w:t>
      </w:r>
      <w:r>
        <w:rPr>
          <w:sz w:val="24"/>
        </w:rPr>
        <w:t>Dunand</w:t>
      </w:r>
      <w:r>
        <w:rPr>
          <w:spacing w:val="-11"/>
          <w:sz w:val="24"/>
        </w:rPr>
        <w:t> </w:t>
      </w:r>
      <w:r>
        <w:rPr>
          <w:sz w:val="24"/>
        </w:rPr>
        <w:t>D.C. Mater. Sci. Eng. A. 2005;</w:t>
      </w:r>
      <w:r>
        <w:rPr>
          <w:spacing w:val="-7"/>
          <w:sz w:val="24"/>
        </w:rPr>
        <w:t> </w:t>
      </w:r>
      <w:r>
        <w:rPr>
          <w:sz w:val="24"/>
        </w:rPr>
        <w:t>391:408-17.</w:t>
      </w:r>
    </w:p>
    <w:p>
      <w:pPr>
        <w:pStyle w:val="BodyText"/>
        <w:rPr>
          <w:sz w:val="26"/>
        </w:rPr>
      </w:pPr>
    </w:p>
    <w:p>
      <w:pPr>
        <w:pStyle w:val="BodyText"/>
        <w:spacing w:before="6"/>
        <w:rPr>
          <w:sz w:val="26"/>
        </w:rPr>
      </w:pPr>
    </w:p>
    <w:p>
      <w:pPr>
        <w:pStyle w:val="ListParagraph"/>
        <w:numPr>
          <w:ilvl w:val="2"/>
          <w:numId w:val="20"/>
        </w:numPr>
        <w:tabs>
          <w:tab w:pos="1296" w:val="left" w:leader="none"/>
        </w:tabs>
        <w:spacing w:line="240" w:lineRule="auto" w:before="1" w:after="0"/>
        <w:ind w:left="1295" w:right="0" w:hanging="361"/>
        <w:jc w:val="left"/>
        <w:rPr>
          <w:sz w:val="24"/>
        </w:rPr>
      </w:pPr>
      <w:r>
        <w:rPr>
          <w:sz w:val="24"/>
        </w:rPr>
        <w:t>Orbulov I, Dobránsky J. Period. Polytech. Mech Eng. 2008;</w:t>
      </w:r>
      <w:r>
        <w:rPr>
          <w:spacing w:val="-21"/>
          <w:sz w:val="24"/>
        </w:rPr>
        <w:t> </w:t>
      </w:r>
      <w:r>
        <w:rPr>
          <w:sz w:val="24"/>
        </w:rPr>
        <w:t>52:35-42.</w:t>
      </w:r>
    </w:p>
    <w:p>
      <w:pPr>
        <w:pStyle w:val="BodyText"/>
        <w:rPr>
          <w:sz w:val="26"/>
        </w:rPr>
      </w:pPr>
    </w:p>
    <w:p>
      <w:pPr>
        <w:pStyle w:val="BodyText"/>
        <w:rPr>
          <w:sz w:val="26"/>
        </w:rPr>
      </w:pPr>
    </w:p>
    <w:p>
      <w:pPr>
        <w:pStyle w:val="BodyText"/>
        <w:rPr>
          <w:sz w:val="26"/>
        </w:rPr>
      </w:pPr>
    </w:p>
    <w:p>
      <w:pPr>
        <w:pStyle w:val="BodyText"/>
        <w:spacing w:before="2"/>
        <w:rPr>
          <w:sz w:val="33"/>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Orbulov I, Gunsztler J. Composites Part </w:t>
      </w:r>
      <w:r>
        <w:rPr>
          <w:spacing w:val="-3"/>
          <w:sz w:val="24"/>
        </w:rPr>
        <w:t>A. </w:t>
      </w:r>
      <w:r>
        <w:rPr>
          <w:sz w:val="24"/>
        </w:rPr>
        <w:t>2012;</w:t>
      </w:r>
      <w:r>
        <w:rPr>
          <w:spacing w:val="-7"/>
          <w:sz w:val="24"/>
        </w:rPr>
        <w:t> </w:t>
      </w:r>
      <w:r>
        <w:rPr>
          <w:sz w:val="24"/>
        </w:rPr>
        <w:t>43:553-61.</w:t>
      </w:r>
    </w:p>
    <w:p>
      <w:pPr>
        <w:pStyle w:val="BodyText"/>
        <w:rPr>
          <w:sz w:val="26"/>
        </w:rPr>
      </w:pPr>
    </w:p>
    <w:p>
      <w:pPr>
        <w:pStyle w:val="BodyText"/>
        <w:rPr>
          <w:sz w:val="26"/>
        </w:rPr>
      </w:pPr>
    </w:p>
    <w:p>
      <w:pPr>
        <w:pStyle w:val="BodyText"/>
        <w:rPr>
          <w:sz w:val="26"/>
        </w:rPr>
      </w:pPr>
    </w:p>
    <w:p>
      <w:pPr>
        <w:pStyle w:val="ListParagraph"/>
        <w:numPr>
          <w:ilvl w:val="2"/>
          <w:numId w:val="20"/>
        </w:numPr>
        <w:tabs>
          <w:tab w:pos="1296" w:val="left" w:leader="none"/>
        </w:tabs>
        <w:spacing w:line="240" w:lineRule="auto" w:before="155" w:after="0"/>
        <w:ind w:left="1295" w:right="0" w:hanging="361"/>
        <w:jc w:val="left"/>
        <w:rPr>
          <w:sz w:val="24"/>
        </w:rPr>
      </w:pPr>
      <w:r>
        <w:rPr>
          <w:sz w:val="24"/>
        </w:rPr>
        <w:t>Palmer RA, Gao K, Doan TM, Green L, Cavallaro G. Mater. Sci. Eng.</w:t>
      </w:r>
      <w:r>
        <w:rPr>
          <w:spacing w:val="-22"/>
          <w:sz w:val="24"/>
        </w:rPr>
        <w:t> </w:t>
      </w:r>
      <w:r>
        <w:rPr>
          <w:sz w:val="24"/>
        </w:rPr>
        <w:t>A.</w:t>
      </w:r>
    </w:p>
    <w:p>
      <w:pPr>
        <w:pStyle w:val="BodyText"/>
        <w:rPr>
          <w:sz w:val="26"/>
        </w:rPr>
      </w:pPr>
    </w:p>
    <w:p>
      <w:pPr>
        <w:pStyle w:val="BodyText"/>
        <w:spacing w:before="174"/>
        <w:ind w:left="1295"/>
      </w:pPr>
      <w:r>
        <w:rPr/>
        <w:t>2007; 464:85-92.</w:t>
      </w:r>
    </w:p>
    <w:p>
      <w:pPr>
        <w:spacing w:after="0"/>
        <w:sectPr>
          <w:pgSz w:w="12240" w:h="15840"/>
          <w:pgMar w:header="0" w:footer="1839" w:top="1500" w:bottom="2060" w:left="1520" w:right="940"/>
        </w:sectPr>
      </w:pPr>
    </w:p>
    <w:p>
      <w:pPr>
        <w:pStyle w:val="BodyText"/>
        <w:rPr>
          <w:sz w:val="20"/>
        </w:rPr>
      </w:pPr>
    </w:p>
    <w:p>
      <w:pPr>
        <w:pStyle w:val="BodyText"/>
        <w:rPr>
          <w:sz w:val="20"/>
        </w:rPr>
      </w:pPr>
    </w:p>
    <w:p>
      <w:pPr>
        <w:pStyle w:val="BodyText"/>
        <w:spacing w:before="1"/>
        <w:rPr>
          <w:sz w:val="23"/>
        </w:rPr>
      </w:pPr>
    </w:p>
    <w:p>
      <w:pPr>
        <w:pStyle w:val="ListParagraph"/>
        <w:numPr>
          <w:ilvl w:val="2"/>
          <w:numId w:val="20"/>
        </w:numPr>
        <w:tabs>
          <w:tab w:pos="1296" w:val="left" w:leader="none"/>
        </w:tabs>
        <w:spacing w:line="360" w:lineRule="auto" w:before="0" w:after="0"/>
        <w:ind w:left="1295" w:right="971" w:hanging="360"/>
        <w:jc w:val="both"/>
        <w:rPr>
          <w:sz w:val="24"/>
        </w:rPr>
      </w:pPr>
      <w:r>
        <w:rPr>
          <w:sz w:val="24"/>
        </w:rPr>
        <w:t>Drury </w:t>
      </w:r>
      <w:r>
        <w:rPr>
          <w:spacing w:val="4"/>
          <w:sz w:val="24"/>
        </w:rPr>
        <w:t>WJ, </w:t>
      </w:r>
      <w:r>
        <w:rPr>
          <w:sz w:val="24"/>
        </w:rPr>
        <w:t>Rickles SA, Sanders Jr. TH, Cochran JK. In: Lee EW, Chia EH,</w:t>
      </w:r>
      <w:r>
        <w:rPr>
          <w:spacing w:val="-16"/>
          <w:sz w:val="24"/>
        </w:rPr>
        <w:t> </w:t>
      </w:r>
      <w:r>
        <w:rPr>
          <w:sz w:val="24"/>
        </w:rPr>
        <w:t>Kim</w:t>
      </w:r>
      <w:r>
        <w:rPr>
          <w:spacing w:val="-14"/>
          <w:sz w:val="24"/>
        </w:rPr>
        <w:t> </w:t>
      </w:r>
      <w:r>
        <w:rPr>
          <w:sz w:val="24"/>
        </w:rPr>
        <w:t>NJ.</w:t>
      </w:r>
      <w:r>
        <w:rPr>
          <w:spacing w:val="-14"/>
          <w:sz w:val="24"/>
        </w:rPr>
        <w:t> </w:t>
      </w:r>
      <w:r>
        <w:rPr>
          <w:sz w:val="24"/>
        </w:rPr>
        <w:t>(Eds.)</w:t>
      </w:r>
      <w:r>
        <w:rPr>
          <w:spacing w:val="-17"/>
          <w:sz w:val="24"/>
        </w:rPr>
        <w:t> </w:t>
      </w:r>
      <w:r>
        <w:rPr>
          <w:sz w:val="24"/>
        </w:rPr>
        <w:t>Light-Weight</w:t>
      </w:r>
      <w:r>
        <w:rPr>
          <w:spacing w:val="-17"/>
          <w:sz w:val="24"/>
        </w:rPr>
        <w:t> </w:t>
      </w:r>
      <w:r>
        <w:rPr>
          <w:sz w:val="24"/>
        </w:rPr>
        <w:t>Alloys</w:t>
      </w:r>
      <w:r>
        <w:rPr>
          <w:spacing w:val="-15"/>
          <w:sz w:val="24"/>
        </w:rPr>
        <w:t> </w:t>
      </w:r>
      <w:r>
        <w:rPr>
          <w:sz w:val="24"/>
        </w:rPr>
        <w:t>for</w:t>
      </w:r>
      <w:r>
        <w:rPr>
          <w:spacing w:val="-15"/>
          <w:sz w:val="24"/>
        </w:rPr>
        <w:t> </w:t>
      </w:r>
      <w:r>
        <w:rPr>
          <w:sz w:val="24"/>
        </w:rPr>
        <w:t>Aerospace</w:t>
      </w:r>
      <w:r>
        <w:rPr>
          <w:spacing w:val="-16"/>
          <w:sz w:val="24"/>
        </w:rPr>
        <w:t> </w:t>
      </w:r>
      <w:r>
        <w:rPr>
          <w:sz w:val="24"/>
        </w:rPr>
        <w:t>Applications</w:t>
      </w:r>
      <w:r>
        <w:rPr>
          <w:spacing w:val="-17"/>
          <w:sz w:val="24"/>
        </w:rPr>
        <w:t> </w:t>
      </w:r>
      <w:r>
        <w:rPr>
          <w:sz w:val="24"/>
        </w:rPr>
        <w:t>TMS 1989 pp.</w:t>
      </w:r>
      <w:r>
        <w:rPr>
          <w:spacing w:val="-1"/>
          <w:sz w:val="24"/>
        </w:rPr>
        <w:t> </w:t>
      </w:r>
      <w:r>
        <w:rPr>
          <w:sz w:val="24"/>
        </w:rPr>
        <w:t>311-22.</w:t>
      </w:r>
    </w:p>
    <w:p>
      <w:pPr>
        <w:pStyle w:val="BodyText"/>
        <w:rPr>
          <w:sz w:val="26"/>
        </w:rPr>
      </w:pPr>
    </w:p>
    <w:p>
      <w:pPr>
        <w:pStyle w:val="BodyText"/>
        <w:spacing w:before="7"/>
        <w:rPr>
          <w:sz w:val="25"/>
        </w:rPr>
      </w:pPr>
    </w:p>
    <w:p>
      <w:pPr>
        <w:pStyle w:val="ListParagraph"/>
        <w:numPr>
          <w:ilvl w:val="2"/>
          <w:numId w:val="20"/>
        </w:numPr>
        <w:tabs>
          <w:tab w:pos="1296" w:val="left" w:leader="none"/>
        </w:tabs>
        <w:spacing w:line="240" w:lineRule="auto" w:before="1" w:after="0"/>
        <w:ind w:left="1295" w:right="0" w:hanging="361"/>
        <w:jc w:val="left"/>
        <w:rPr>
          <w:sz w:val="24"/>
        </w:rPr>
      </w:pPr>
      <w:r>
        <w:rPr>
          <w:sz w:val="24"/>
        </w:rPr>
        <w:t>Kiser M, He MY, Zok </w:t>
      </w:r>
      <w:r>
        <w:rPr>
          <w:spacing w:val="2"/>
          <w:sz w:val="24"/>
        </w:rPr>
        <w:t>FW. </w:t>
      </w:r>
      <w:r>
        <w:rPr>
          <w:sz w:val="24"/>
        </w:rPr>
        <w:t>Acta Mater. 1999;</w:t>
      </w:r>
      <w:r>
        <w:rPr>
          <w:spacing w:val="-13"/>
          <w:sz w:val="24"/>
        </w:rPr>
        <w:t> </w:t>
      </w:r>
      <w:r>
        <w:rPr>
          <w:sz w:val="24"/>
        </w:rPr>
        <w:t>47:2685-94.</w:t>
      </w:r>
    </w:p>
    <w:p>
      <w:pPr>
        <w:pStyle w:val="BodyText"/>
        <w:rPr>
          <w:sz w:val="26"/>
        </w:rPr>
      </w:pPr>
    </w:p>
    <w:p>
      <w:pPr>
        <w:pStyle w:val="BodyText"/>
        <w:rPr>
          <w:sz w:val="26"/>
        </w:rPr>
      </w:pPr>
    </w:p>
    <w:p>
      <w:pPr>
        <w:pStyle w:val="BodyText"/>
        <w:spacing w:before="9"/>
        <w:rPr>
          <w:sz w:val="38"/>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Aghajanian M, Mamillan N, Kennedy C, Luszcz S, Roy R. Mat.</w:t>
      </w:r>
      <w:r>
        <w:rPr>
          <w:spacing w:val="-21"/>
          <w:sz w:val="24"/>
        </w:rPr>
        <w:t> </w:t>
      </w:r>
      <w:r>
        <w:rPr>
          <w:sz w:val="24"/>
        </w:rPr>
        <w:t>Sci.</w:t>
      </w:r>
    </w:p>
    <w:p>
      <w:pPr>
        <w:pStyle w:val="BodyText"/>
        <w:rPr>
          <w:sz w:val="26"/>
        </w:rPr>
      </w:pPr>
    </w:p>
    <w:p>
      <w:pPr>
        <w:pStyle w:val="BodyText"/>
        <w:spacing w:before="172"/>
        <w:ind w:left="1295"/>
      </w:pPr>
      <w:r>
        <w:rPr/>
        <w:t>1989; 24:658-70.</w:t>
      </w:r>
    </w:p>
    <w:p>
      <w:pPr>
        <w:pStyle w:val="BodyText"/>
        <w:rPr>
          <w:sz w:val="26"/>
        </w:rPr>
      </w:pPr>
    </w:p>
    <w:p>
      <w:pPr>
        <w:pStyle w:val="BodyText"/>
        <w:rPr>
          <w:sz w:val="26"/>
        </w:rPr>
      </w:pPr>
    </w:p>
    <w:p>
      <w:pPr>
        <w:pStyle w:val="BodyText"/>
        <w:spacing w:before="2"/>
        <w:rPr>
          <w:sz w:val="29"/>
        </w:rPr>
      </w:pPr>
    </w:p>
    <w:p>
      <w:pPr>
        <w:pStyle w:val="ListParagraph"/>
        <w:numPr>
          <w:ilvl w:val="2"/>
          <w:numId w:val="20"/>
        </w:numPr>
        <w:tabs>
          <w:tab w:pos="1296" w:val="left" w:leader="none"/>
        </w:tabs>
        <w:spacing w:line="360" w:lineRule="auto" w:before="0" w:after="0"/>
        <w:ind w:left="1295" w:right="1434" w:hanging="360"/>
        <w:jc w:val="left"/>
        <w:rPr>
          <w:sz w:val="24"/>
        </w:rPr>
      </w:pPr>
      <w:r>
        <w:rPr>
          <w:sz w:val="24"/>
        </w:rPr>
        <w:t>Weise</w:t>
      </w:r>
      <w:r>
        <w:rPr>
          <w:spacing w:val="-15"/>
          <w:sz w:val="24"/>
        </w:rPr>
        <w:t> </w:t>
      </w:r>
      <w:r>
        <w:rPr>
          <w:sz w:val="24"/>
        </w:rPr>
        <w:t>J,</w:t>
      </w:r>
      <w:r>
        <w:rPr>
          <w:spacing w:val="-14"/>
          <w:sz w:val="24"/>
        </w:rPr>
        <w:t> </w:t>
      </w:r>
      <w:r>
        <w:rPr>
          <w:sz w:val="24"/>
        </w:rPr>
        <w:t>Yezerska</w:t>
      </w:r>
      <w:r>
        <w:rPr>
          <w:spacing w:val="-16"/>
          <w:sz w:val="24"/>
        </w:rPr>
        <w:t> </w:t>
      </w:r>
      <w:r>
        <w:rPr>
          <w:sz w:val="24"/>
        </w:rPr>
        <w:t>O,</w:t>
      </w:r>
      <w:r>
        <w:rPr>
          <w:spacing w:val="-16"/>
          <w:sz w:val="24"/>
        </w:rPr>
        <w:t> </w:t>
      </w:r>
      <w:r>
        <w:rPr>
          <w:sz w:val="24"/>
        </w:rPr>
        <w:t>Busse</w:t>
      </w:r>
      <w:r>
        <w:rPr>
          <w:spacing w:val="-15"/>
          <w:sz w:val="24"/>
        </w:rPr>
        <w:t> </w:t>
      </w:r>
      <w:r>
        <w:rPr>
          <w:sz w:val="24"/>
        </w:rPr>
        <w:t>M,</w:t>
      </w:r>
      <w:r>
        <w:rPr>
          <w:spacing w:val="-14"/>
          <w:sz w:val="24"/>
        </w:rPr>
        <w:t> </w:t>
      </w:r>
      <w:r>
        <w:rPr>
          <w:sz w:val="24"/>
        </w:rPr>
        <w:t>Haesche</w:t>
      </w:r>
      <w:r>
        <w:rPr>
          <w:spacing w:val="-15"/>
          <w:sz w:val="24"/>
        </w:rPr>
        <w:t> </w:t>
      </w:r>
      <w:r>
        <w:rPr>
          <w:sz w:val="24"/>
        </w:rPr>
        <w:t>M,</w:t>
      </w:r>
      <w:r>
        <w:rPr>
          <w:spacing w:val="-17"/>
          <w:sz w:val="24"/>
        </w:rPr>
        <w:t> </w:t>
      </w:r>
      <w:r>
        <w:rPr>
          <w:sz w:val="24"/>
        </w:rPr>
        <w:t>Zanetti-Bueckmann</w:t>
      </w:r>
      <w:r>
        <w:rPr>
          <w:spacing w:val="-14"/>
          <w:sz w:val="24"/>
        </w:rPr>
        <w:t> </w:t>
      </w:r>
      <w:r>
        <w:rPr>
          <w:sz w:val="24"/>
        </w:rPr>
        <w:t>V, Schmitt M. Materialwiss. Werkstofftech. 2007;</w:t>
      </w:r>
      <w:r>
        <w:rPr>
          <w:spacing w:val="-19"/>
          <w:sz w:val="24"/>
        </w:rPr>
        <w:t> </w:t>
      </w:r>
      <w:r>
        <w:rPr>
          <w:sz w:val="24"/>
        </w:rPr>
        <w:t>38:901-6.</w:t>
      </w:r>
    </w:p>
    <w:p>
      <w:pPr>
        <w:pStyle w:val="BodyText"/>
        <w:rPr>
          <w:sz w:val="26"/>
        </w:rPr>
      </w:pPr>
    </w:p>
    <w:p>
      <w:pPr>
        <w:pStyle w:val="BodyText"/>
        <w:spacing w:before="8"/>
        <w:rPr>
          <w:sz w:val="37"/>
        </w:rPr>
      </w:pPr>
    </w:p>
    <w:p>
      <w:pPr>
        <w:pStyle w:val="ListParagraph"/>
        <w:numPr>
          <w:ilvl w:val="2"/>
          <w:numId w:val="20"/>
        </w:numPr>
        <w:tabs>
          <w:tab w:pos="1296" w:val="left" w:leader="none"/>
        </w:tabs>
        <w:spacing w:line="360" w:lineRule="auto" w:before="0" w:after="0"/>
        <w:ind w:left="1295" w:right="1649" w:hanging="360"/>
        <w:jc w:val="both"/>
        <w:rPr>
          <w:sz w:val="24"/>
        </w:rPr>
      </w:pPr>
      <w:r>
        <w:rPr>
          <w:sz w:val="24"/>
        </w:rPr>
        <w:t>Lanning BR, Rawal SP, Misra MS. in Advanced Metal Matrix Composites for Elevated Temperatures Conference Proceedings, Cincinnati, Ohio October 20-24 1991, pp.</w:t>
      </w:r>
      <w:r>
        <w:rPr>
          <w:spacing w:val="-22"/>
          <w:sz w:val="24"/>
        </w:rPr>
        <w:t> </w:t>
      </w:r>
      <w:r>
        <w:rPr>
          <w:sz w:val="24"/>
        </w:rPr>
        <w:t>79-83.</w:t>
      </w:r>
    </w:p>
    <w:p>
      <w:pPr>
        <w:pStyle w:val="BodyText"/>
        <w:rPr>
          <w:sz w:val="26"/>
        </w:rPr>
      </w:pPr>
    </w:p>
    <w:p>
      <w:pPr>
        <w:pStyle w:val="BodyText"/>
        <w:spacing w:before="10"/>
        <w:rPr>
          <w:sz w:val="26"/>
        </w:rPr>
      </w:pPr>
    </w:p>
    <w:p>
      <w:pPr>
        <w:pStyle w:val="ListParagraph"/>
        <w:numPr>
          <w:ilvl w:val="2"/>
          <w:numId w:val="20"/>
        </w:numPr>
        <w:tabs>
          <w:tab w:pos="1296" w:val="left" w:leader="none"/>
        </w:tabs>
        <w:spacing w:line="240" w:lineRule="auto" w:before="1" w:after="0"/>
        <w:ind w:left="1295" w:right="0" w:hanging="361"/>
        <w:jc w:val="left"/>
        <w:rPr>
          <w:sz w:val="24"/>
        </w:rPr>
      </w:pPr>
      <w:r>
        <w:rPr>
          <w:sz w:val="24"/>
        </w:rPr>
        <w:t>Rabiei A, Vendra LJ. Mater Lett. 2009;</w:t>
      </w:r>
      <w:r>
        <w:rPr>
          <w:spacing w:val="-18"/>
          <w:sz w:val="24"/>
        </w:rPr>
        <w:t> </w:t>
      </w:r>
      <w:r>
        <w:rPr>
          <w:sz w:val="24"/>
        </w:rPr>
        <w:t>63:533-6.</w:t>
      </w:r>
    </w:p>
    <w:p>
      <w:pPr>
        <w:pStyle w:val="BodyText"/>
        <w:rPr>
          <w:sz w:val="26"/>
        </w:rPr>
      </w:pPr>
    </w:p>
    <w:p>
      <w:pPr>
        <w:pStyle w:val="BodyText"/>
        <w:rPr>
          <w:sz w:val="26"/>
        </w:rPr>
      </w:pPr>
    </w:p>
    <w:p>
      <w:pPr>
        <w:pStyle w:val="BodyText"/>
        <w:rPr>
          <w:sz w:val="26"/>
        </w:rPr>
      </w:pPr>
    </w:p>
    <w:p>
      <w:pPr>
        <w:pStyle w:val="ListParagraph"/>
        <w:numPr>
          <w:ilvl w:val="2"/>
          <w:numId w:val="20"/>
        </w:numPr>
        <w:tabs>
          <w:tab w:pos="1296" w:val="left" w:leader="none"/>
        </w:tabs>
        <w:spacing w:line="240" w:lineRule="auto" w:before="193" w:after="0"/>
        <w:ind w:left="1295" w:right="0" w:hanging="361"/>
        <w:jc w:val="left"/>
        <w:rPr>
          <w:sz w:val="24"/>
        </w:rPr>
      </w:pPr>
      <w:r>
        <w:rPr>
          <w:sz w:val="24"/>
        </w:rPr>
        <w:t>Zhang LP, Zhao </w:t>
      </w:r>
      <w:r>
        <w:rPr>
          <w:spacing w:val="-4"/>
          <w:sz w:val="24"/>
        </w:rPr>
        <w:t>YY. </w:t>
      </w:r>
      <w:r>
        <w:rPr>
          <w:sz w:val="24"/>
        </w:rPr>
        <w:t>J Composite Mater. 2007;</w:t>
      </w:r>
      <w:r>
        <w:rPr>
          <w:spacing w:val="1"/>
          <w:sz w:val="24"/>
        </w:rPr>
        <w:t> </w:t>
      </w:r>
      <w:r>
        <w:rPr>
          <w:sz w:val="24"/>
        </w:rPr>
        <w:t>41:2105-17.</w:t>
      </w:r>
    </w:p>
    <w:p>
      <w:pPr>
        <w:pStyle w:val="BodyText"/>
        <w:rPr>
          <w:sz w:val="26"/>
        </w:rPr>
      </w:pPr>
    </w:p>
    <w:p>
      <w:pPr>
        <w:pStyle w:val="BodyText"/>
        <w:rPr>
          <w:sz w:val="26"/>
        </w:rPr>
      </w:pPr>
    </w:p>
    <w:p>
      <w:pPr>
        <w:pStyle w:val="BodyText"/>
        <w:spacing w:before="9"/>
        <w:rPr>
          <w:sz w:val="28"/>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Zhao </w:t>
      </w:r>
      <w:r>
        <w:rPr>
          <w:spacing w:val="-3"/>
          <w:sz w:val="24"/>
        </w:rPr>
        <w:t>Y, </w:t>
      </w:r>
      <w:r>
        <w:rPr>
          <w:sz w:val="24"/>
        </w:rPr>
        <w:t>Tao </w:t>
      </w:r>
      <w:r>
        <w:rPr>
          <w:spacing w:val="-3"/>
          <w:sz w:val="24"/>
        </w:rPr>
        <w:t>X, </w:t>
      </w:r>
      <w:r>
        <w:rPr>
          <w:sz w:val="24"/>
        </w:rPr>
        <w:t>Xue </w:t>
      </w:r>
      <w:r>
        <w:rPr>
          <w:spacing w:val="-3"/>
          <w:sz w:val="24"/>
        </w:rPr>
        <w:t>X. </w:t>
      </w:r>
      <w:r>
        <w:rPr>
          <w:sz w:val="24"/>
        </w:rPr>
        <w:t>Proc. </w:t>
      </w:r>
      <w:r>
        <w:rPr>
          <w:spacing w:val="-3"/>
          <w:sz w:val="24"/>
        </w:rPr>
        <w:t>MS&amp;T </w:t>
      </w:r>
      <w:r>
        <w:rPr>
          <w:sz w:val="24"/>
        </w:rPr>
        <w:t>Pittsburgh Pennsylvania. 2008</w:t>
      </w:r>
      <w:r>
        <w:rPr>
          <w:spacing w:val="5"/>
          <w:sz w:val="24"/>
        </w:rPr>
        <w:t> </w:t>
      </w:r>
      <w:r>
        <w:rPr>
          <w:sz w:val="24"/>
        </w:rPr>
        <w:t>pp.</w:t>
      </w:r>
    </w:p>
    <w:p>
      <w:pPr>
        <w:spacing w:after="0" w:line="240" w:lineRule="auto"/>
        <w:jc w:val="left"/>
        <w:rPr>
          <w:sz w:val="24"/>
        </w:rPr>
        <w:sectPr>
          <w:pgSz w:w="12240" w:h="15840"/>
          <w:pgMar w:header="0" w:footer="1839" w:top="1500" w:bottom="2060" w:left="1520" w:right="940"/>
        </w:sectPr>
      </w:pPr>
    </w:p>
    <w:p>
      <w:pPr>
        <w:pStyle w:val="BodyText"/>
        <w:spacing w:before="2"/>
        <w:rPr>
          <w:sz w:val="15"/>
        </w:rPr>
      </w:pPr>
    </w:p>
    <w:p>
      <w:pPr>
        <w:pStyle w:val="BodyText"/>
        <w:spacing w:before="92"/>
        <w:ind w:left="1295"/>
      </w:pPr>
      <w:r>
        <w:rPr/>
        <w:t>2607- 2615.</w:t>
      </w:r>
    </w:p>
    <w:p>
      <w:pPr>
        <w:pStyle w:val="BodyText"/>
        <w:rPr>
          <w:sz w:val="26"/>
        </w:rPr>
      </w:pPr>
    </w:p>
    <w:p>
      <w:pPr>
        <w:pStyle w:val="BodyText"/>
        <w:rPr>
          <w:sz w:val="26"/>
        </w:rPr>
      </w:pPr>
    </w:p>
    <w:p>
      <w:pPr>
        <w:pStyle w:val="BodyText"/>
        <w:spacing w:before="9"/>
        <w:rPr>
          <w:sz w:val="28"/>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Tao XF, Zhang LP, Zhao </w:t>
      </w:r>
      <w:r>
        <w:rPr>
          <w:spacing w:val="-4"/>
          <w:sz w:val="24"/>
        </w:rPr>
        <w:t>YY. </w:t>
      </w:r>
      <w:r>
        <w:rPr>
          <w:sz w:val="24"/>
        </w:rPr>
        <w:t>Mater Des. 2009;</w:t>
      </w:r>
      <w:r>
        <w:rPr>
          <w:spacing w:val="-3"/>
          <w:sz w:val="24"/>
        </w:rPr>
        <w:t> </w:t>
      </w:r>
      <w:r>
        <w:rPr>
          <w:sz w:val="24"/>
        </w:rPr>
        <w:t>30:2732-6.</w:t>
      </w:r>
    </w:p>
    <w:p>
      <w:pPr>
        <w:pStyle w:val="BodyText"/>
        <w:rPr>
          <w:sz w:val="26"/>
        </w:rPr>
      </w:pPr>
    </w:p>
    <w:p>
      <w:pPr>
        <w:pStyle w:val="BodyText"/>
        <w:rPr>
          <w:sz w:val="26"/>
        </w:rPr>
      </w:pPr>
    </w:p>
    <w:p>
      <w:pPr>
        <w:pStyle w:val="BodyText"/>
        <w:spacing w:before="1"/>
        <w:rPr>
          <w:sz w:val="22"/>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Tao XF, Zhao </w:t>
      </w:r>
      <w:r>
        <w:rPr>
          <w:spacing w:val="-4"/>
          <w:sz w:val="24"/>
        </w:rPr>
        <w:t>YY. </w:t>
      </w:r>
      <w:r>
        <w:rPr>
          <w:sz w:val="24"/>
        </w:rPr>
        <w:t>Scr. Mater. 2009;</w:t>
      </w:r>
      <w:r>
        <w:rPr>
          <w:spacing w:val="5"/>
          <w:sz w:val="24"/>
        </w:rPr>
        <w:t> </w:t>
      </w:r>
      <w:r>
        <w:rPr>
          <w:sz w:val="24"/>
        </w:rPr>
        <w:t>61:461-4.</w:t>
      </w:r>
    </w:p>
    <w:p>
      <w:pPr>
        <w:pStyle w:val="BodyText"/>
        <w:rPr>
          <w:sz w:val="26"/>
        </w:rPr>
      </w:pPr>
    </w:p>
    <w:p>
      <w:pPr>
        <w:pStyle w:val="BodyText"/>
        <w:rPr>
          <w:sz w:val="26"/>
        </w:rPr>
      </w:pPr>
    </w:p>
    <w:p>
      <w:pPr>
        <w:pStyle w:val="ListParagraph"/>
        <w:numPr>
          <w:ilvl w:val="2"/>
          <w:numId w:val="20"/>
        </w:numPr>
        <w:tabs>
          <w:tab w:pos="1296" w:val="left" w:leader="none"/>
        </w:tabs>
        <w:spacing w:line="240" w:lineRule="auto" w:before="234" w:after="0"/>
        <w:ind w:left="1295" w:right="0" w:hanging="361"/>
        <w:jc w:val="left"/>
        <w:rPr>
          <w:sz w:val="24"/>
        </w:rPr>
      </w:pPr>
      <w:r>
        <w:rPr>
          <w:sz w:val="24"/>
        </w:rPr>
        <w:t>Kim HS, Plubrai P. Composites Part A. 2004;</w:t>
      </w:r>
      <w:r>
        <w:rPr>
          <w:spacing w:val="-16"/>
          <w:sz w:val="24"/>
        </w:rPr>
        <w:t> </w:t>
      </w:r>
      <w:r>
        <w:rPr>
          <w:sz w:val="24"/>
        </w:rPr>
        <w:t>35:1009-15.</w:t>
      </w:r>
    </w:p>
    <w:p>
      <w:pPr>
        <w:pStyle w:val="BodyText"/>
        <w:rPr>
          <w:sz w:val="26"/>
        </w:rPr>
      </w:pPr>
    </w:p>
    <w:p>
      <w:pPr>
        <w:pStyle w:val="BodyText"/>
        <w:rPr>
          <w:sz w:val="26"/>
        </w:rPr>
      </w:pPr>
    </w:p>
    <w:p>
      <w:pPr>
        <w:pStyle w:val="BodyText"/>
        <w:spacing w:before="4"/>
        <w:rPr>
          <w:sz w:val="20"/>
        </w:rPr>
      </w:pPr>
    </w:p>
    <w:p>
      <w:pPr>
        <w:pStyle w:val="ListParagraph"/>
        <w:numPr>
          <w:ilvl w:val="2"/>
          <w:numId w:val="20"/>
        </w:numPr>
        <w:tabs>
          <w:tab w:pos="1296" w:val="left" w:leader="none"/>
        </w:tabs>
        <w:spacing w:line="357" w:lineRule="auto" w:before="0" w:after="0"/>
        <w:ind w:left="1295" w:right="875" w:hanging="360"/>
        <w:jc w:val="left"/>
        <w:rPr>
          <w:sz w:val="24"/>
        </w:rPr>
      </w:pPr>
      <w:r>
        <w:rPr>
          <w:sz w:val="24"/>
        </w:rPr>
        <w:t>Santa</w:t>
      </w:r>
      <w:r>
        <w:rPr>
          <w:spacing w:val="-7"/>
          <w:sz w:val="24"/>
        </w:rPr>
        <w:t> </w:t>
      </w:r>
      <w:r>
        <w:rPr>
          <w:sz w:val="24"/>
        </w:rPr>
        <w:t>Maria</w:t>
      </w:r>
      <w:r>
        <w:rPr>
          <w:spacing w:val="-4"/>
          <w:sz w:val="24"/>
        </w:rPr>
        <w:t> </w:t>
      </w:r>
      <w:r>
        <w:rPr>
          <w:sz w:val="24"/>
        </w:rPr>
        <w:t>J,</w:t>
      </w:r>
      <w:r>
        <w:rPr>
          <w:spacing w:val="-5"/>
          <w:sz w:val="24"/>
        </w:rPr>
        <w:t> </w:t>
      </w:r>
      <w:r>
        <w:rPr>
          <w:sz w:val="24"/>
        </w:rPr>
        <w:t>Thesis</w:t>
      </w:r>
      <w:r>
        <w:rPr>
          <w:spacing w:val="-10"/>
          <w:sz w:val="24"/>
        </w:rPr>
        <w:t> </w:t>
      </w:r>
      <w:r>
        <w:rPr>
          <w:sz w:val="24"/>
        </w:rPr>
        <w:t>for</w:t>
      </w:r>
      <w:r>
        <w:rPr>
          <w:spacing w:val="-5"/>
          <w:sz w:val="24"/>
        </w:rPr>
        <w:t> </w:t>
      </w:r>
      <w:r>
        <w:rPr>
          <w:sz w:val="24"/>
        </w:rPr>
        <w:t>Master</w:t>
      </w:r>
      <w:r>
        <w:rPr>
          <w:spacing w:val="-5"/>
          <w:sz w:val="24"/>
        </w:rPr>
        <w:t> </w:t>
      </w:r>
      <w:r>
        <w:rPr>
          <w:sz w:val="24"/>
        </w:rPr>
        <w:t>of</w:t>
      </w:r>
      <w:r>
        <w:rPr>
          <w:spacing w:val="-5"/>
          <w:sz w:val="24"/>
        </w:rPr>
        <w:t> </w:t>
      </w:r>
      <w:r>
        <w:rPr>
          <w:sz w:val="24"/>
        </w:rPr>
        <w:t>Science</w:t>
      </w:r>
      <w:r>
        <w:rPr>
          <w:spacing w:val="-4"/>
          <w:sz w:val="24"/>
        </w:rPr>
        <w:t> </w:t>
      </w:r>
      <w:r>
        <w:rPr>
          <w:sz w:val="24"/>
        </w:rPr>
        <w:t>in</w:t>
      </w:r>
      <w:r>
        <w:rPr>
          <w:spacing w:val="-8"/>
          <w:sz w:val="24"/>
        </w:rPr>
        <w:t> </w:t>
      </w:r>
      <w:r>
        <w:rPr>
          <w:sz w:val="24"/>
        </w:rPr>
        <w:t>Engineering</w:t>
      </w:r>
      <w:r>
        <w:rPr>
          <w:spacing w:val="-8"/>
          <w:sz w:val="24"/>
        </w:rPr>
        <w:t> </w:t>
      </w:r>
      <w:r>
        <w:rPr>
          <w:sz w:val="24"/>
        </w:rPr>
        <w:t>at</w:t>
      </w:r>
      <w:r>
        <w:rPr>
          <w:spacing w:val="-4"/>
          <w:sz w:val="24"/>
        </w:rPr>
        <w:t> </w:t>
      </w:r>
      <w:r>
        <w:rPr>
          <w:sz w:val="24"/>
        </w:rPr>
        <w:t>University of Wisconsin-Milwaukee, May</w:t>
      </w:r>
      <w:r>
        <w:rPr>
          <w:spacing w:val="-12"/>
          <w:sz w:val="24"/>
        </w:rPr>
        <w:t> </w:t>
      </w:r>
      <w:r>
        <w:rPr>
          <w:sz w:val="24"/>
        </w:rPr>
        <w:t>2012.</w:t>
      </w:r>
    </w:p>
    <w:p>
      <w:pPr>
        <w:pStyle w:val="BodyText"/>
        <w:rPr>
          <w:sz w:val="26"/>
        </w:rPr>
      </w:pPr>
    </w:p>
    <w:p>
      <w:pPr>
        <w:pStyle w:val="BodyText"/>
        <w:spacing w:before="1"/>
        <w:rPr>
          <w:sz w:val="26"/>
        </w:rPr>
      </w:pPr>
    </w:p>
    <w:p>
      <w:pPr>
        <w:pStyle w:val="ListParagraph"/>
        <w:numPr>
          <w:ilvl w:val="2"/>
          <w:numId w:val="20"/>
        </w:numPr>
        <w:tabs>
          <w:tab w:pos="1296" w:val="left" w:leader="none"/>
        </w:tabs>
        <w:spacing w:line="357" w:lineRule="auto" w:before="0" w:after="0"/>
        <w:ind w:left="1295" w:right="2810" w:hanging="360"/>
        <w:jc w:val="left"/>
        <w:rPr>
          <w:sz w:val="24"/>
        </w:rPr>
      </w:pPr>
      <w:r>
        <w:rPr>
          <w:sz w:val="24"/>
        </w:rPr>
        <w:t>Santa</w:t>
      </w:r>
      <w:r>
        <w:rPr>
          <w:spacing w:val="-7"/>
          <w:sz w:val="24"/>
        </w:rPr>
        <w:t> </w:t>
      </w:r>
      <w:r>
        <w:rPr>
          <w:sz w:val="24"/>
        </w:rPr>
        <w:t>Maria</w:t>
      </w:r>
      <w:r>
        <w:rPr>
          <w:spacing w:val="-5"/>
          <w:sz w:val="24"/>
        </w:rPr>
        <w:t> </w:t>
      </w:r>
      <w:r>
        <w:rPr>
          <w:sz w:val="24"/>
        </w:rPr>
        <w:t>J,</w:t>
      </w:r>
      <w:r>
        <w:rPr>
          <w:spacing w:val="-9"/>
          <w:sz w:val="24"/>
        </w:rPr>
        <w:t> </w:t>
      </w:r>
      <w:r>
        <w:rPr>
          <w:sz w:val="24"/>
        </w:rPr>
        <w:t>Schultz</w:t>
      </w:r>
      <w:r>
        <w:rPr>
          <w:spacing w:val="-9"/>
          <w:sz w:val="24"/>
        </w:rPr>
        <w:t> </w:t>
      </w:r>
      <w:r>
        <w:rPr>
          <w:sz w:val="24"/>
        </w:rPr>
        <w:t>B,</w:t>
      </w:r>
      <w:r>
        <w:rPr>
          <w:spacing w:val="-5"/>
          <w:sz w:val="24"/>
        </w:rPr>
        <w:t> </w:t>
      </w:r>
      <w:r>
        <w:rPr>
          <w:sz w:val="24"/>
        </w:rPr>
        <w:t>Ferguson</w:t>
      </w:r>
      <w:r>
        <w:rPr>
          <w:spacing w:val="-6"/>
          <w:sz w:val="24"/>
        </w:rPr>
        <w:t> </w:t>
      </w:r>
      <w:r>
        <w:rPr>
          <w:sz w:val="24"/>
        </w:rPr>
        <w:t>J,</w:t>
      </w:r>
      <w:r>
        <w:rPr>
          <w:spacing w:val="-4"/>
          <w:sz w:val="24"/>
        </w:rPr>
        <w:t> </w:t>
      </w:r>
      <w:r>
        <w:rPr>
          <w:sz w:val="24"/>
        </w:rPr>
        <w:t>Rohatgi</w:t>
      </w:r>
      <w:r>
        <w:rPr>
          <w:spacing w:val="-6"/>
          <w:sz w:val="24"/>
        </w:rPr>
        <w:t> </w:t>
      </w:r>
      <w:r>
        <w:rPr>
          <w:sz w:val="24"/>
        </w:rPr>
        <w:t>P.</w:t>
      </w:r>
      <w:r>
        <w:rPr>
          <w:spacing w:val="-5"/>
          <w:sz w:val="24"/>
        </w:rPr>
        <w:t> </w:t>
      </w:r>
      <w:r>
        <w:rPr>
          <w:sz w:val="24"/>
        </w:rPr>
        <w:t>DOI 10.1016/jsmea.2013.05.081.</w:t>
      </w:r>
    </w:p>
    <w:p>
      <w:pPr>
        <w:pStyle w:val="BodyText"/>
        <w:rPr>
          <w:sz w:val="26"/>
        </w:rPr>
      </w:pPr>
    </w:p>
    <w:p>
      <w:pPr>
        <w:pStyle w:val="BodyText"/>
        <w:spacing w:before="1"/>
        <w:rPr>
          <w:sz w:val="26"/>
        </w:rPr>
      </w:pPr>
    </w:p>
    <w:p>
      <w:pPr>
        <w:pStyle w:val="ListParagraph"/>
        <w:numPr>
          <w:ilvl w:val="2"/>
          <w:numId w:val="20"/>
        </w:numPr>
        <w:tabs>
          <w:tab w:pos="1296" w:val="left" w:leader="none"/>
        </w:tabs>
        <w:spacing w:line="357" w:lineRule="auto" w:before="0" w:after="0"/>
        <w:ind w:left="1295" w:right="1328" w:hanging="360"/>
        <w:jc w:val="left"/>
        <w:rPr>
          <w:sz w:val="24"/>
        </w:rPr>
      </w:pPr>
      <w:r>
        <w:rPr>
          <w:sz w:val="24"/>
        </w:rPr>
        <w:t>Daoud</w:t>
      </w:r>
      <w:r>
        <w:rPr>
          <w:spacing w:val="-7"/>
          <w:sz w:val="24"/>
        </w:rPr>
        <w:t> </w:t>
      </w:r>
      <w:r>
        <w:rPr>
          <w:sz w:val="24"/>
        </w:rPr>
        <w:t>A,</w:t>
      </w:r>
      <w:r>
        <w:rPr>
          <w:spacing w:val="-7"/>
          <w:sz w:val="24"/>
        </w:rPr>
        <w:t> </w:t>
      </w:r>
      <w:r>
        <w:rPr>
          <w:sz w:val="24"/>
        </w:rPr>
        <w:t>Abou</w:t>
      </w:r>
      <w:r>
        <w:rPr>
          <w:spacing w:val="-6"/>
          <w:sz w:val="24"/>
        </w:rPr>
        <w:t> </w:t>
      </w:r>
      <w:r>
        <w:rPr>
          <w:sz w:val="24"/>
        </w:rPr>
        <w:t>El-Khair</w:t>
      </w:r>
      <w:r>
        <w:rPr>
          <w:spacing w:val="-7"/>
          <w:sz w:val="24"/>
        </w:rPr>
        <w:t> </w:t>
      </w:r>
      <w:r>
        <w:rPr>
          <w:sz w:val="24"/>
        </w:rPr>
        <w:t>MT,</w:t>
      </w:r>
      <w:r>
        <w:rPr>
          <w:spacing w:val="-6"/>
          <w:sz w:val="24"/>
        </w:rPr>
        <w:t> </w:t>
      </w:r>
      <w:r>
        <w:rPr>
          <w:sz w:val="24"/>
        </w:rPr>
        <w:t>Abdel-Aziz</w:t>
      </w:r>
      <w:r>
        <w:rPr>
          <w:spacing w:val="-9"/>
          <w:sz w:val="24"/>
        </w:rPr>
        <w:t> </w:t>
      </w:r>
      <w:r>
        <w:rPr>
          <w:sz w:val="24"/>
        </w:rPr>
        <w:t>M,</w:t>
      </w:r>
      <w:r>
        <w:rPr>
          <w:spacing w:val="-6"/>
          <w:sz w:val="24"/>
        </w:rPr>
        <w:t> </w:t>
      </w:r>
      <w:r>
        <w:rPr>
          <w:sz w:val="24"/>
        </w:rPr>
        <w:t>Rohatgi</w:t>
      </w:r>
      <w:r>
        <w:rPr>
          <w:spacing w:val="-6"/>
          <w:sz w:val="24"/>
        </w:rPr>
        <w:t> </w:t>
      </w:r>
      <w:r>
        <w:rPr>
          <w:sz w:val="24"/>
        </w:rPr>
        <w:t>P.</w:t>
      </w:r>
      <w:r>
        <w:rPr>
          <w:spacing w:val="-5"/>
          <w:sz w:val="24"/>
        </w:rPr>
        <w:t> </w:t>
      </w:r>
      <w:r>
        <w:rPr>
          <w:sz w:val="24"/>
        </w:rPr>
        <w:t>Compos.</w:t>
      </w:r>
      <w:r>
        <w:rPr>
          <w:spacing w:val="-6"/>
          <w:sz w:val="24"/>
        </w:rPr>
        <w:t> </w:t>
      </w:r>
      <w:r>
        <w:rPr>
          <w:sz w:val="24"/>
        </w:rPr>
        <w:t>Sci Technol. 2007;</w:t>
      </w:r>
      <w:r>
        <w:rPr>
          <w:spacing w:val="-7"/>
          <w:sz w:val="24"/>
        </w:rPr>
        <w:t> </w:t>
      </w:r>
      <w:r>
        <w:rPr>
          <w:sz w:val="24"/>
        </w:rPr>
        <w:t>67:1842-53.</w:t>
      </w:r>
    </w:p>
    <w:p>
      <w:pPr>
        <w:pStyle w:val="BodyText"/>
        <w:rPr>
          <w:sz w:val="26"/>
        </w:rPr>
      </w:pPr>
    </w:p>
    <w:p>
      <w:pPr>
        <w:pStyle w:val="BodyText"/>
        <w:spacing w:before="9"/>
        <w:rPr>
          <w:sz w:val="25"/>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Daoud A. Mater Sci </w:t>
      </w:r>
      <w:r>
        <w:rPr>
          <w:spacing w:val="-2"/>
          <w:sz w:val="24"/>
        </w:rPr>
        <w:t>Eng </w:t>
      </w:r>
      <w:r>
        <w:rPr>
          <w:sz w:val="24"/>
        </w:rPr>
        <w:t>A. 2008;</w:t>
      </w:r>
      <w:r>
        <w:rPr>
          <w:spacing w:val="-21"/>
          <w:sz w:val="24"/>
        </w:rPr>
        <w:t> </w:t>
      </w:r>
      <w:r>
        <w:rPr>
          <w:sz w:val="24"/>
        </w:rPr>
        <w:t>488:281-95.</w:t>
      </w:r>
    </w:p>
    <w:p>
      <w:pPr>
        <w:pStyle w:val="BodyText"/>
        <w:rPr>
          <w:sz w:val="26"/>
        </w:rPr>
      </w:pPr>
    </w:p>
    <w:p>
      <w:pPr>
        <w:pStyle w:val="BodyText"/>
        <w:rPr>
          <w:sz w:val="26"/>
        </w:rPr>
      </w:pPr>
    </w:p>
    <w:p>
      <w:pPr>
        <w:pStyle w:val="ListParagraph"/>
        <w:numPr>
          <w:ilvl w:val="2"/>
          <w:numId w:val="20"/>
        </w:numPr>
        <w:tabs>
          <w:tab w:pos="1296" w:val="left" w:leader="none"/>
        </w:tabs>
        <w:spacing w:line="240" w:lineRule="auto" w:before="233" w:after="0"/>
        <w:ind w:left="1295" w:right="0" w:hanging="361"/>
        <w:jc w:val="left"/>
        <w:rPr>
          <w:sz w:val="24"/>
        </w:rPr>
      </w:pPr>
      <w:r>
        <w:rPr>
          <w:sz w:val="24"/>
        </w:rPr>
        <w:t>Nagata S, Matsuda </w:t>
      </w:r>
      <w:r>
        <w:rPr>
          <w:spacing w:val="-3"/>
          <w:sz w:val="24"/>
        </w:rPr>
        <w:t>K. </w:t>
      </w:r>
      <w:r>
        <w:rPr>
          <w:sz w:val="24"/>
        </w:rPr>
        <w:t>Imono. 1981;</w:t>
      </w:r>
      <w:r>
        <w:rPr>
          <w:spacing w:val="-34"/>
          <w:sz w:val="24"/>
        </w:rPr>
        <w:t> </w:t>
      </w:r>
      <w:r>
        <w:rPr>
          <w:sz w:val="24"/>
        </w:rPr>
        <w:t>53:300-4.</w:t>
      </w:r>
    </w:p>
    <w:p>
      <w:pPr>
        <w:pStyle w:val="BodyText"/>
        <w:rPr>
          <w:sz w:val="26"/>
        </w:rPr>
      </w:pPr>
    </w:p>
    <w:p>
      <w:pPr>
        <w:pStyle w:val="BodyText"/>
        <w:rPr>
          <w:sz w:val="26"/>
        </w:rPr>
      </w:pPr>
    </w:p>
    <w:p>
      <w:pPr>
        <w:pStyle w:val="ListParagraph"/>
        <w:numPr>
          <w:ilvl w:val="2"/>
          <w:numId w:val="20"/>
        </w:numPr>
        <w:tabs>
          <w:tab w:pos="1296" w:val="left" w:leader="none"/>
        </w:tabs>
        <w:spacing w:line="240" w:lineRule="auto" w:before="233" w:after="0"/>
        <w:ind w:left="1295" w:right="0" w:hanging="361"/>
        <w:jc w:val="left"/>
        <w:rPr>
          <w:sz w:val="24"/>
        </w:rPr>
      </w:pPr>
      <w:r>
        <w:rPr>
          <w:sz w:val="24"/>
        </w:rPr>
        <w:t>Nagata S, Matsuda </w:t>
      </w:r>
      <w:r>
        <w:rPr>
          <w:spacing w:val="-3"/>
          <w:sz w:val="24"/>
        </w:rPr>
        <w:t>K. </w:t>
      </w:r>
      <w:r>
        <w:rPr>
          <w:sz w:val="24"/>
        </w:rPr>
        <w:t>Jpn. Foundrymen’s Soc. 1983;</w:t>
      </w:r>
      <w:r>
        <w:rPr>
          <w:spacing w:val="-8"/>
          <w:sz w:val="24"/>
        </w:rPr>
        <w:t> </w:t>
      </w:r>
      <w:r>
        <w:rPr>
          <w:sz w:val="24"/>
        </w:rPr>
        <w:t>2:616-20.</w:t>
      </w:r>
    </w:p>
    <w:p>
      <w:pPr>
        <w:spacing w:after="0" w:line="240" w:lineRule="auto"/>
        <w:jc w:val="left"/>
        <w:rPr>
          <w:sz w:val="24"/>
        </w:rPr>
        <w:sectPr>
          <w:pgSz w:w="12240" w:h="15840"/>
          <w:pgMar w:header="0" w:footer="1839" w:top="1500" w:bottom="2060" w:left="1520" w:right="940"/>
        </w:sectPr>
      </w:pPr>
    </w:p>
    <w:p>
      <w:pPr>
        <w:pStyle w:val="BodyText"/>
        <w:spacing w:before="5"/>
        <w:rPr>
          <w:sz w:val="15"/>
        </w:rPr>
      </w:pPr>
    </w:p>
    <w:p>
      <w:pPr>
        <w:pStyle w:val="ListParagraph"/>
        <w:numPr>
          <w:ilvl w:val="2"/>
          <w:numId w:val="20"/>
        </w:numPr>
        <w:tabs>
          <w:tab w:pos="1296" w:val="left" w:leader="none"/>
        </w:tabs>
        <w:spacing w:line="360" w:lineRule="auto" w:before="92" w:after="0"/>
        <w:ind w:left="1295" w:right="972" w:hanging="360"/>
        <w:jc w:val="left"/>
        <w:rPr>
          <w:sz w:val="24"/>
        </w:rPr>
      </w:pPr>
      <w:r>
        <w:rPr>
          <w:sz w:val="24"/>
        </w:rPr>
        <w:t>Mondal</w:t>
      </w:r>
      <w:r>
        <w:rPr>
          <w:spacing w:val="-6"/>
          <w:sz w:val="24"/>
        </w:rPr>
        <w:t> </w:t>
      </w:r>
      <w:r>
        <w:rPr>
          <w:sz w:val="24"/>
        </w:rPr>
        <w:t>DP,</w:t>
      </w:r>
      <w:r>
        <w:rPr>
          <w:spacing w:val="-5"/>
          <w:sz w:val="24"/>
        </w:rPr>
        <w:t> </w:t>
      </w:r>
      <w:r>
        <w:rPr>
          <w:sz w:val="24"/>
        </w:rPr>
        <w:t>Datta</w:t>
      </w:r>
      <w:r>
        <w:rPr>
          <w:spacing w:val="-5"/>
          <w:sz w:val="24"/>
        </w:rPr>
        <w:t> </w:t>
      </w:r>
      <w:r>
        <w:rPr>
          <w:sz w:val="24"/>
        </w:rPr>
        <w:t>Majumder</w:t>
      </w:r>
      <w:r>
        <w:rPr>
          <w:spacing w:val="-5"/>
          <w:sz w:val="24"/>
        </w:rPr>
        <w:t> </w:t>
      </w:r>
      <w:r>
        <w:rPr>
          <w:sz w:val="24"/>
        </w:rPr>
        <w:t>J,</w:t>
      </w:r>
      <w:r>
        <w:rPr>
          <w:spacing w:val="-5"/>
          <w:sz w:val="24"/>
        </w:rPr>
        <w:t> </w:t>
      </w:r>
      <w:r>
        <w:rPr>
          <w:sz w:val="24"/>
        </w:rPr>
        <w:t>Jha</w:t>
      </w:r>
      <w:r>
        <w:rPr>
          <w:spacing w:val="-4"/>
          <w:sz w:val="24"/>
        </w:rPr>
        <w:t> </w:t>
      </w:r>
      <w:r>
        <w:rPr>
          <w:sz w:val="24"/>
        </w:rPr>
        <w:t>N,</w:t>
      </w:r>
      <w:r>
        <w:rPr>
          <w:spacing w:val="-6"/>
          <w:sz w:val="24"/>
        </w:rPr>
        <w:t> </w:t>
      </w:r>
      <w:r>
        <w:rPr>
          <w:sz w:val="24"/>
        </w:rPr>
        <w:t>Badkul</w:t>
      </w:r>
      <w:r>
        <w:rPr>
          <w:spacing w:val="-6"/>
          <w:sz w:val="24"/>
        </w:rPr>
        <w:t> </w:t>
      </w:r>
      <w:r>
        <w:rPr>
          <w:sz w:val="24"/>
        </w:rPr>
        <w:t>A,</w:t>
      </w:r>
      <w:r>
        <w:rPr>
          <w:spacing w:val="-4"/>
          <w:sz w:val="24"/>
        </w:rPr>
        <w:t> </w:t>
      </w:r>
      <w:r>
        <w:rPr>
          <w:sz w:val="24"/>
        </w:rPr>
        <w:t>Das</w:t>
      </w:r>
      <w:r>
        <w:rPr>
          <w:spacing w:val="-5"/>
          <w:sz w:val="24"/>
        </w:rPr>
        <w:t> </w:t>
      </w:r>
      <w:r>
        <w:rPr>
          <w:sz w:val="24"/>
        </w:rPr>
        <w:t>S,</w:t>
      </w:r>
      <w:r>
        <w:rPr>
          <w:spacing w:val="-4"/>
          <w:sz w:val="24"/>
        </w:rPr>
        <w:t> </w:t>
      </w:r>
      <w:r>
        <w:rPr>
          <w:sz w:val="24"/>
        </w:rPr>
        <w:t>Patel</w:t>
      </w:r>
      <w:r>
        <w:rPr>
          <w:spacing w:val="-6"/>
          <w:sz w:val="24"/>
        </w:rPr>
        <w:t> </w:t>
      </w:r>
      <w:r>
        <w:rPr>
          <w:sz w:val="24"/>
        </w:rPr>
        <w:t>A,</w:t>
      </w:r>
      <w:r>
        <w:rPr>
          <w:spacing w:val="-4"/>
          <w:sz w:val="24"/>
        </w:rPr>
        <w:t> </w:t>
      </w:r>
      <w:r>
        <w:rPr>
          <w:sz w:val="24"/>
        </w:rPr>
        <w:t>Gupta G. Mater Des. 2012;</w:t>
      </w:r>
      <w:r>
        <w:rPr>
          <w:spacing w:val="-1"/>
          <w:sz w:val="24"/>
        </w:rPr>
        <w:t> </w:t>
      </w:r>
      <w:r>
        <w:rPr>
          <w:sz w:val="24"/>
        </w:rPr>
        <w:t>34:82-9.</w:t>
      </w:r>
    </w:p>
    <w:p>
      <w:pPr>
        <w:pStyle w:val="BodyText"/>
        <w:rPr>
          <w:sz w:val="26"/>
        </w:rPr>
      </w:pPr>
    </w:p>
    <w:p>
      <w:pPr>
        <w:pStyle w:val="BodyText"/>
        <w:spacing w:before="6"/>
        <w:rPr>
          <w:sz w:val="25"/>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Neville BP, Rabiei A. Mater Des. 2008;</w:t>
      </w:r>
      <w:r>
        <w:rPr>
          <w:spacing w:val="-29"/>
          <w:sz w:val="24"/>
        </w:rPr>
        <w:t> </w:t>
      </w:r>
      <w:r>
        <w:rPr>
          <w:sz w:val="24"/>
        </w:rPr>
        <w:t>29:388-96.</w:t>
      </w:r>
    </w:p>
    <w:p>
      <w:pPr>
        <w:pStyle w:val="BodyText"/>
        <w:rPr>
          <w:sz w:val="26"/>
        </w:rPr>
      </w:pPr>
    </w:p>
    <w:p>
      <w:pPr>
        <w:pStyle w:val="ListParagraph"/>
        <w:numPr>
          <w:ilvl w:val="2"/>
          <w:numId w:val="20"/>
        </w:numPr>
        <w:tabs>
          <w:tab w:pos="1296" w:val="left" w:leader="none"/>
        </w:tabs>
        <w:spacing w:line="240" w:lineRule="auto" w:before="172" w:after="0"/>
        <w:ind w:left="1295" w:right="0" w:hanging="361"/>
        <w:jc w:val="left"/>
        <w:rPr>
          <w:sz w:val="24"/>
        </w:rPr>
      </w:pPr>
      <w:r>
        <w:rPr>
          <w:sz w:val="24"/>
        </w:rPr>
        <w:t>Balch DK, Dunand DC. Acta Mater 2006;</w:t>
      </w:r>
      <w:r>
        <w:rPr>
          <w:spacing w:val="-25"/>
          <w:sz w:val="24"/>
        </w:rPr>
        <w:t> </w:t>
      </w:r>
      <w:r>
        <w:rPr>
          <w:sz w:val="24"/>
        </w:rPr>
        <w:t>54:1501.</w:t>
      </w:r>
    </w:p>
    <w:p>
      <w:pPr>
        <w:pStyle w:val="BodyText"/>
        <w:rPr>
          <w:sz w:val="26"/>
        </w:rPr>
      </w:pPr>
    </w:p>
    <w:p>
      <w:pPr>
        <w:pStyle w:val="BodyText"/>
        <w:rPr>
          <w:sz w:val="26"/>
        </w:rPr>
      </w:pPr>
    </w:p>
    <w:p>
      <w:pPr>
        <w:pStyle w:val="BodyText"/>
        <w:spacing w:before="2"/>
        <w:rPr>
          <w:sz w:val="28"/>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Weise J, Baumeister J, Yezerska O, Salk N, </w:t>
      </w:r>
      <w:r>
        <w:rPr>
          <w:spacing w:val="-3"/>
          <w:sz w:val="24"/>
        </w:rPr>
        <w:t>Silva </w:t>
      </w:r>
      <w:r>
        <w:rPr>
          <w:sz w:val="24"/>
        </w:rPr>
        <w:t>GBD. Adv.</w:t>
      </w:r>
      <w:r>
        <w:rPr>
          <w:spacing w:val="-9"/>
          <w:sz w:val="24"/>
        </w:rPr>
        <w:t> </w:t>
      </w:r>
      <w:r>
        <w:rPr>
          <w:sz w:val="24"/>
        </w:rPr>
        <w:t>Eng.</w:t>
      </w:r>
    </w:p>
    <w:p>
      <w:pPr>
        <w:pStyle w:val="BodyText"/>
        <w:rPr>
          <w:sz w:val="26"/>
        </w:rPr>
      </w:pPr>
    </w:p>
    <w:p>
      <w:pPr>
        <w:pStyle w:val="BodyText"/>
        <w:spacing w:before="174"/>
        <w:ind w:left="1295"/>
      </w:pPr>
      <w:r>
        <w:rPr/>
        <w:t>Mater. 2010; 12:604-8.</w:t>
      </w:r>
    </w:p>
    <w:p>
      <w:pPr>
        <w:pStyle w:val="BodyText"/>
        <w:rPr>
          <w:sz w:val="26"/>
        </w:rPr>
      </w:pPr>
    </w:p>
    <w:p>
      <w:pPr>
        <w:pStyle w:val="BodyText"/>
        <w:rPr>
          <w:sz w:val="26"/>
        </w:rPr>
      </w:pPr>
    </w:p>
    <w:p>
      <w:pPr>
        <w:pStyle w:val="BodyText"/>
        <w:spacing w:before="5"/>
        <w:rPr>
          <w:sz w:val="20"/>
        </w:rPr>
      </w:pPr>
    </w:p>
    <w:p>
      <w:pPr>
        <w:pStyle w:val="ListParagraph"/>
        <w:numPr>
          <w:ilvl w:val="2"/>
          <w:numId w:val="20"/>
        </w:numPr>
        <w:tabs>
          <w:tab w:pos="1296" w:val="left" w:leader="none"/>
        </w:tabs>
        <w:spacing w:line="360" w:lineRule="auto" w:before="0" w:after="0"/>
        <w:ind w:left="1295" w:right="1490" w:hanging="360"/>
        <w:jc w:val="left"/>
        <w:rPr>
          <w:sz w:val="24"/>
        </w:rPr>
      </w:pPr>
      <w:r>
        <w:rPr>
          <w:sz w:val="24"/>
        </w:rPr>
        <w:t>Peroni</w:t>
      </w:r>
      <w:r>
        <w:rPr>
          <w:spacing w:val="-7"/>
          <w:sz w:val="24"/>
        </w:rPr>
        <w:t> </w:t>
      </w:r>
      <w:r>
        <w:rPr>
          <w:sz w:val="24"/>
        </w:rPr>
        <w:t>L,</w:t>
      </w:r>
      <w:r>
        <w:rPr>
          <w:spacing w:val="-4"/>
          <w:sz w:val="24"/>
        </w:rPr>
        <w:t> </w:t>
      </w:r>
      <w:r>
        <w:rPr>
          <w:sz w:val="24"/>
        </w:rPr>
        <w:t>Scapin</w:t>
      </w:r>
      <w:r>
        <w:rPr>
          <w:spacing w:val="-5"/>
          <w:sz w:val="24"/>
        </w:rPr>
        <w:t> </w:t>
      </w:r>
      <w:r>
        <w:rPr>
          <w:sz w:val="24"/>
        </w:rPr>
        <w:t>M,</w:t>
      </w:r>
      <w:r>
        <w:rPr>
          <w:spacing w:val="-5"/>
          <w:sz w:val="24"/>
        </w:rPr>
        <w:t> </w:t>
      </w:r>
      <w:r>
        <w:rPr>
          <w:sz w:val="24"/>
        </w:rPr>
        <w:t>Avalle</w:t>
      </w:r>
      <w:r>
        <w:rPr>
          <w:spacing w:val="-5"/>
          <w:sz w:val="24"/>
        </w:rPr>
        <w:t> </w:t>
      </w:r>
      <w:r>
        <w:rPr>
          <w:sz w:val="24"/>
        </w:rPr>
        <w:t>M,</w:t>
      </w:r>
      <w:r>
        <w:rPr>
          <w:spacing w:val="-12"/>
          <w:sz w:val="24"/>
        </w:rPr>
        <w:t> </w:t>
      </w:r>
      <w:r>
        <w:rPr>
          <w:sz w:val="24"/>
        </w:rPr>
        <w:t>Weise</w:t>
      </w:r>
      <w:r>
        <w:rPr>
          <w:spacing w:val="-4"/>
          <w:sz w:val="24"/>
        </w:rPr>
        <w:t> </w:t>
      </w:r>
      <w:r>
        <w:rPr>
          <w:sz w:val="24"/>
        </w:rPr>
        <w:t>J,</w:t>
      </w:r>
      <w:r>
        <w:rPr>
          <w:spacing w:val="-6"/>
          <w:sz w:val="24"/>
        </w:rPr>
        <w:t> </w:t>
      </w:r>
      <w:r>
        <w:rPr>
          <w:sz w:val="24"/>
        </w:rPr>
        <w:t>Lehmhus</w:t>
      </w:r>
      <w:r>
        <w:rPr>
          <w:spacing w:val="-4"/>
          <w:sz w:val="24"/>
        </w:rPr>
        <w:t> </w:t>
      </w:r>
      <w:r>
        <w:rPr>
          <w:sz w:val="24"/>
        </w:rPr>
        <w:t>D,</w:t>
      </w:r>
      <w:r>
        <w:rPr>
          <w:spacing w:val="-4"/>
          <w:sz w:val="24"/>
        </w:rPr>
        <w:t> </w:t>
      </w:r>
      <w:r>
        <w:rPr>
          <w:sz w:val="24"/>
        </w:rPr>
        <w:t>Baumeister</w:t>
      </w:r>
      <w:r>
        <w:rPr>
          <w:spacing w:val="-5"/>
          <w:sz w:val="24"/>
        </w:rPr>
        <w:t> </w:t>
      </w:r>
      <w:r>
        <w:rPr>
          <w:sz w:val="24"/>
        </w:rPr>
        <w:t>J, Busse M. Adv. Eng. Mater. 2012;</w:t>
      </w:r>
      <w:r>
        <w:rPr>
          <w:spacing w:val="-8"/>
          <w:sz w:val="24"/>
        </w:rPr>
        <w:t> </w:t>
      </w:r>
      <w:r>
        <w:rPr>
          <w:sz w:val="24"/>
        </w:rPr>
        <w:t>14:909-18.</w:t>
      </w:r>
    </w:p>
    <w:p>
      <w:pPr>
        <w:pStyle w:val="BodyText"/>
        <w:rPr>
          <w:sz w:val="26"/>
        </w:rPr>
      </w:pPr>
    </w:p>
    <w:p>
      <w:pPr>
        <w:pStyle w:val="BodyText"/>
        <w:spacing w:before="9"/>
        <w:rPr>
          <w:sz w:val="25"/>
        </w:rPr>
      </w:pPr>
    </w:p>
    <w:p>
      <w:pPr>
        <w:pStyle w:val="ListParagraph"/>
        <w:numPr>
          <w:ilvl w:val="2"/>
          <w:numId w:val="20"/>
        </w:numPr>
        <w:tabs>
          <w:tab w:pos="1296" w:val="left" w:leader="none"/>
        </w:tabs>
        <w:spacing w:line="360" w:lineRule="auto" w:before="0" w:after="0"/>
        <w:ind w:left="1295" w:right="1228" w:hanging="360"/>
        <w:jc w:val="left"/>
        <w:rPr>
          <w:sz w:val="24"/>
        </w:rPr>
      </w:pPr>
      <w:r>
        <w:rPr>
          <w:sz w:val="24"/>
        </w:rPr>
        <w:t>Peroni</w:t>
      </w:r>
      <w:r>
        <w:rPr>
          <w:spacing w:val="-7"/>
          <w:sz w:val="24"/>
        </w:rPr>
        <w:t> </w:t>
      </w:r>
      <w:r>
        <w:rPr>
          <w:sz w:val="24"/>
        </w:rPr>
        <w:t>L,</w:t>
      </w:r>
      <w:r>
        <w:rPr>
          <w:spacing w:val="-5"/>
          <w:sz w:val="24"/>
        </w:rPr>
        <w:t> </w:t>
      </w:r>
      <w:r>
        <w:rPr>
          <w:sz w:val="24"/>
        </w:rPr>
        <w:t>Scapin</w:t>
      </w:r>
      <w:r>
        <w:rPr>
          <w:spacing w:val="-4"/>
          <w:sz w:val="24"/>
        </w:rPr>
        <w:t> </w:t>
      </w:r>
      <w:r>
        <w:rPr>
          <w:sz w:val="24"/>
        </w:rPr>
        <w:t>M,</w:t>
      </w:r>
      <w:r>
        <w:rPr>
          <w:spacing w:val="-5"/>
          <w:sz w:val="24"/>
        </w:rPr>
        <w:t> </w:t>
      </w:r>
      <w:r>
        <w:rPr>
          <w:sz w:val="24"/>
        </w:rPr>
        <w:t>Avalle</w:t>
      </w:r>
      <w:r>
        <w:rPr>
          <w:spacing w:val="-4"/>
          <w:sz w:val="24"/>
        </w:rPr>
        <w:t> </w:t>
      </w:r>
      <w:r>
        <w:rPr>
          <w:sz w:val="24"/>
        </w:rPr>
        <w:t>M,</w:t>
      </w:r>
      <w:r>
        <w:rPr>
          <w:spacing w:val="-12"/>
          <w:sz w:val="24"/>
        </w:rPr>
        <w:t> </w:t>
      </w:r>
      <w:r>
        <w:rPr>
          <w:sz w:val="24"/>
        </w:rPr>
        <w:t>Weise</w:t>
      </w:r>
      <w:r>
        <w:rPr>
          <w:spacing w:val="-3"/>
          <w:sz w:val="24"/>
        </w:rPr>
        <w:t> </w:t>
      </w:r>
      <w:r>
        <w:rPr>
          <w:sz w:val="24"/>
        </w:rPr>
        <w:t>J,</w:t>
      </w:r>
      <w:r>
        <w:rPr>
          <w:spacing w:val="-6"/>
          <w:sz w:val="24"/>
        </w:rPr>
        <w:t> </w:t>
      </w:r>
      <w:r>
        <w:rPr>
          <w:sz w:val="24"/>
        </w:rPr>
        <w:t>Lehmhus</w:t>
      </w:r>
      <w:r>
        <w:rPr>
          <w:spacing w:val="-3"/>
          <w:sz w:val="24"/>
        </w:rPr>
        <w:t> </w:t>
      </w:r>
      <w:r>
        <w:rPr>
          <w:sz w:val="24"/>
        </w:rPr>
        <w:t>D.</w:t>
      </w:r>
      <w:r>
        <w:rPr>
          <w:spacing w:val="-3"/>
          <w:sz w:val="24"/>
        </w:rPr>
        <w:t> </w:t>
      </w:r>
      <w:r>
        <w:rPr>
          <w:sz w:val="24"/>
        </w:rPr>
        <w:t>Mater</w:t>
      </w:r>
      <w:r>
        <w:rPr>
          <w:spacing w:val="-5"/>
          <w:sz w:val="24"/>
        </w:rPr>
        <w:t> </w:t>
      </w:r>
      <w:r>
        <w:rPr>
          <w:sz w:val="24"/>
        </w:rPr>
        <w:t>Sci</w:t>
      </w:r>
      <w:r>
        <w:rPr>
          <w:spacing w:val="-3"/>
          <w:sz w:val="24"/>
        </w:rPr>
        <w:t> </w:t>
      </w:r>
      <w:r>
        <w:rPr>
          <w:sz w:val="24"/>
        </w:rPr>
        <w:t>Eng</w:t>
      </w:r>
      <w:r>
        <w:rPr>
          <w:spacing w:val="-8"/>
          <w:sz w:val="24"/>
        </w:rPr>
        <w:t> </w:t>
      </w:r>
      <w:r>
        <w:rPr>
          <w:sz w:val="24"/>
        </w:rPr>
        <w:t>A 2012; 552:364-75.</w:t>
      </w:r>
    </w:p>
    <w:p>
      <w:pPr>
        <w:pStyle w:val="BodyText"/>
        <w:rPr>
          <w:sz w:val="26"/>
        </w:rPr>
      </w:pPr>
    </w:p>
    <w:p>
      <w:pPr>
        <w:pStyle w:val="BodyText"/>
        <w:rPr>
          <w:sz w:val="26"/>
        </w:rPr>
      </w:pPr>
    </w:p>
    <w:p>
      <w:pPr>
        <w:pStyle w:val="ListParagraph"/>
        <w:numPr>
          <w:ilvl w:val="2"/>
          <w:numId w:val="20"/>
        </w:numPr>
        <w:tabs>
          <w:tab w:pos="1296" w:val="left" w:leader="none"/>
        </w:tabs>
        <w:spacing w:line="360" w:lineRule="auto" w:before="0" w:after="0"/>
        <w:ind w:left="1295" w:right="1211" w:hanging="360"/>
        <w:jc w:val="left"/>
        <w:rPr>
          <w:sz w:val="24"/>
        </w:rPr>
      </w:pPr>
      <w:r>
        <w:rPr>
          <w:sz w:val="24"/>
        </w:rPr>
        <w:t>Rohatgi</w:t>
      </w:r>
      <w:r>
        <w:rPr>
          <w:spacing w:val="-5"/>
          <w:sz w:val="24"/>
        </w:rPr>
        <w:t> </w:t>
      </w:r>
      <w:r>
        <w:rPr>
          <w:sz w:val="24"/>
        </w:rPr>
        <w:t>PK,</w:t>
      </w:r>
      <w:r>
        <w:rPr>
          <w:spacing w:val="-6"/>
          <w:sz w:val="24"/>
        </w:rPr>
        <w:t> </w:t>
      </w:r>
      <w:r>
        <w:rPr>
          <w:sz w:val="24"/>
        </w:rPr>
        <w:t>Kim</w:t>
      </w:r>
      <w:r>
        <w:rPr>
          <w:spacing w:val="-5"/>
          <w:sz w:val="24"/>
        </w:rPr>
        <w:t> </w:t>
      </w:r>
      <w:r>
        <w:rPr>
          <w:sz w:val="24"/>
        </w:rPr>
        <w:t>JK,</w:t>
      </w:r>
      <w:r>
        <w:rPr>
          <w:spacing w:val="-4"/>
          <w:sz w:val="24"/>
        </w:rPr>
        <w:t> </w:t>
      </w:r>
      <w:r>
        <w:rPr>
          <w:sz w:val="24"/>
        </w:rPr>
        <w:t>Gupta</w:t>
      </w:r>
      <w:r>
        <w:rPr>
          <w:spacing w:val="-5"/>
          <w:sz w:val="24"/>
        </w:rPr>
        <w:t> </w:t>
      </w:r>
      <w:r>
        <w:rPr>
          <w:sz w:val="24"/>
        </w:rPr>
        <w:t>N,</w:t>
      </w:r>
      <w:r>
        <w:rPr>
          <w:spacing w:val="-4"/>
          <w:sz w:val="24"/>
        </w:rPr>
        <w:t> </w:t>
      </w:r>
      <w:r>
        <w:rPr>
          <w:sz w:val="24"/>
        </w:rPr>
        <w:t>Alaraj</w:t>
      </w:r>
      <w:r>
        <w:rPr>
          <w:spacing w:val="-6"/>
          <w:sz w:val="24"/>
        </w:rPr>
        <w:t> </w:t>
      </w:r>
      <w:r>
        <w:rPr>
          <w:sz w:val="24"/>
        </w:rPr>
        <w:t>S,</w:t>
      </w:r>
      <w:r>
        <w:rPr>
          <w:spacing w:val="-4"/>
          <w:sz w:val="24"/>
        </w:rPr>
        <w:t> </w:t>
      </w:r>
      <w:r>
        <w:rPr>
          <w:sz w:val="24"/>
        </w:rPr>
        <w:t>Daoud</w:t>
      </w:r>
      <w:r>
        <w:rPr>
          <w:spacing w:val="-4"/>
          <w:sz w:val="24"/>
        </w:rPr>
        <w:t> </w:t>
      </w:r>
      <w:r>
        <w:rPr>
          <w:sz w:val="24"/>
        </w:rPr>
        <w:t>A.</w:t>
      </w:r>
      <w:r>
        <w:rPr>
          <w:spacing w:val="-4"/>
          <w:sz w:val="24"/>
        </w:rPr>
        <w:t> </w:t>
      </w:r>
      <w:r>
        <w:rPr>
          <w:sz w:val="24"/>
        </w:rPr>
        <w:t>Composites</w:t>
      </w:r>
      <w:r>
        <w:rPr>
          <w:spacing w:val="-6"/>
          <w:sz w:val="24"/>
        </w:rPr>
        <w:t> </w:t>
      </w:r>
      <w:r>
        <w:rPr>
          <w:sz w:val="24"/>
        </w:rPr>
        <w:t>Part</w:t>
      </w:r>
      <w:r>
        <w:rPr>
          <w:spacing w:val="-8"/>
          <w:sz w:val="24"/>
        </w:rPr>
        <w:t> </w:t>
      </w:r>
      <w:r>
        <w:rPr>
          <w:sz w:val="24"/>
        </w:rPr>
        <w:t>A 2006; 37:430.</w:t>
      </w:r>
    </w:p>
    <w:p>
      <w:pPr>
        <w:pStyle w:val="BodyText"/>
        <w:rPr>
          <w:sz w:val="26"/>
        </w:rPr>
      </w:pPr>
    </w:p>
    <w:p>
      <w:pPr>
        <w:pStyle w:val="BodyText"/>
        <w:spacing w:before="8"/>
        <w:rPr>
          <w:sz w:val="25"/>
        </w:rPr>
      </w:pPr>
    </w:p>
    <w:p>
      <w:pPr>
        <w:pStyle w:val="ListParagraph"/>
        <w:numPr>
          <w:ilvl w:val="2"/>
          <w:numId w:val="20"/>
        </w:numPr>
        <w:tabs>
          <w:tab w:pos="1296" w:val="left" w:leader="none"/>
        </w:tabs>
        <w:spacing w:line="360" w:lineRule="auto" w:before="1" w:after="0"/>
        <w:ind w:left="1295" w:right="1117" w:hanging="360"/>
        <w:jc w:val="left"/>
        <w:rPr>
          <w:sz w:val="24"/>
        </w:rPr>
      </w:pPr>
      <w:r>
        <w:rPr>
          <w:sz w:val="24"/>
        </w:rPr>
        <w:t>DeFouw JD, Rohatgi PK. Supplemental Proceedings, Vol 2: The Minerals,</w:t>
      </w:r>
      <w:r>
        <w:rPr>
          <w:spacing w:val="-7"/>
          <w:sz w:val="24"/>
        </w:rPr>
        <w:t> </w:t>
      </w:r>
      <w:r>
        <w:rPr>
          <w:sz w:val="24"/>
        </w:rPr>
        <w:t>Metals</w:t>
      </w:r>
      <w:r>
        <w:rPr>
          <w:spacing w:val="-8"/>
          <w:sz w:val="24"/>
        </w:rPr>
        <w:t> </w:t>
      </w:r>
      <w:r>
        <w:rPr>
          <w:sz w:val="24"/>
        </w:rPr>
        <w:t>and</w:t>
      </w:r>
      <w:r>
        <w:rPr>
          <w:spacing w:val="-10"/>
          <w:sz w:val="24"/>
        </w:rPr>
        <w:t> </w:t>
      </w:r>
      <w:r>
        <w:rPr>
          <w:sz w:val="24"/>
        </w:rPr>
        <w:t>Materials</w:t>
      </w:r>
      <w:r>
        <w:rPr>
          <w:spacing w:val="-7"/>
          <w:sz w:val="24"/>
        </w:rPr>
        <w:t> </w:t>
      </w:r>
      <w:r>
        <w:rPr>
          <w:sz w:val="24"/>
        </w:rPr>
        <w:t>Society,</w:t>
      </w:r>
      <w:r>
        <w:rPr>
          <w:spacing w:val="-14"/>
          <w:sz w:val="24"/>
        </w:rPr>
        <w:t> </w:t>
      </w:r>
      <w:r>
        <w:rPr>
          <w:sz w:val="24"/>
        </w:rPr>
        <w:t>Warrendale,</w:t>
      </w:r>
      <w:r>
        <w:rPr>
          <w:spacing w:val="-8"/>
          <w:sz w:val="24"/>
        </w:rPr>
        <w:t> </w:t>
      </w:r>
      <w:r>
        <w:rPr>
          <w:sz w:val="24"/>
        </w:rPr>
        <w:t>PA,</w:t>
      </w:r>
      <w:r>
        <w:rPr>
          <w:spacing w:val="-8"/>
          <w:sz w:val="24"/>
        </w:rPr>
        <w:t> </w:t>
      </w:r>
      <w:r>
        <w:rPr>
          <w:sz w:val="24"/>
        </w:rPr>
        <w:t>2011,</w:t>
      </w:r>
      <w:r>
        <w:rPr>
          <w:spacing w:val="-6"/>
          <w:sz w:val="24"/>
        </w:rPr>
        <w:t> </w:t>
      </w:r>
      <w:r>
        <w:rPr>
          <w:sz w:val="24"/>
        </w:rPr>
        <w:t>p.797.</w:t>
      </w:r>
    </w:p>
    <w:p>
      <w:pPr>
        <w:pStyle w:val="BodyText"/>
        <w:rPr>
          <w:sz w:val="26"/>
        </w:rPr>
      </w:pPr>
    </w:p>
    <w:p>
      <w:pPr>
        <w:pStyle w:val="BodyText"/>
        <w:spacing w:before="6"/>
        <w:rPr>
          <w:sz w:val="25"/>
        </w:rPr>
      </w:pPr>
    </w:p>
    <w:p>
      <w:pPr>
        <w:pStyle w:val="ListParagraph"/>
        <w:numPr>
          <w:ilvl w:val="2"/>
          <w:numId w:val="20"/>
        </w:numPr>
        <w:tabs>
          <w:tab w:pos="1296" w:val="left" w:leader="none"/>
        </w:tabs>
        <w:spacing w:line="240" w:lineRule="auto" w:before="1" w:after="0"/>
        <w:ind w:left="1295" w:right="0" w:hanging="361"/>
        <w:jc w:val="left"/>
        <w:rPr>
          <w:sz w:val="24"/>
        </w:rPr>
      </w:pPr>
      <w:r>
        <w:rPr>
          <w:sz w:val="24"/>
        </w:rPr>
        <w:t>Castro G, Nutt SR. Mater Sci Eng A 2012;</w:t>
      </w:r>
      <w:r>
        <w:rPr>
          <w:spacing w:val="-14"/>
          <w:sz w:val="24"/>
        </w:rPr>
        <w:t> </w:t>
      </w:r>
      <w:r>
        <w:rPr>
          <w:sz w:val="24"/>
        </w:rPr>
        <w:t>535:274.</w:t>
      </w:r>
    </w:p>
    <w:p>
      <w:pPr>
        <w:spacing w:after="0" w:line="240" w:lineRule="auto"/>
        <w:jc w:val="left"/>
        <w:rPr>
          <w:sz w:val="24"/>
        </w:rPr>
        <w:sectPr>
          <w:pgSz w:w="12240" w:h="15840"/>
          <w:pgMar w:header="0" w:footer="1839" w:top="1500" w:bottom="2060" w:left="1520" w:right="940"/>
        </w:sectPr>
      </w:pPr>
    </w:p>
    <w:p>
      <w:pPr>
        <w:pStyle w:val="ListParagraph"/>
        <w:numPr>
          <w:ilvl w:val="2"/>
          <w:numId w:val="20"/>
        </w:numPr>
        <w:tabs>
          <w:tab w:pos="1296" w:val="left" w:leader="none"/>
        </w:tabs>
        <w:spacing w:line="357" w:lineRule="auto" w:before="79" w:after="0"/>
        <w:ind w:left="1295" w:right="942" w:hanging="360"/>
        <w:jc w:val="both"/>
        <w:rPr>
          <w:sz w:val="24"/>
        </w:rPr>
      </w:pPr>
      <w:r>
        <w:rPr>
          <w:sz w:val="24"/>
        </w:rPr>
        <w:t>Luong DD, Strbik III OM, Hammond VH, Gupta N, and Cho K.</w:t>
      </w:r>
      <w:r>
        <w:rPr>
          <w:spacing w:val="9"/>
          <w:sz w:val="24"/>
        </w:rPr>
        <w:t> </w:t>
      </w:r>
      <w:r>
        <w:rPr>
          <w:sz w:val="24"/>
        </w:rPr>
        <w:t>J. Alloys Compd. 550, 412</w:t>
      </w:r>
      <w:r>
        <w:rPr>
          <w:spacing w:val="-4"/>
          <w:sz w:val="24"/>
        </w:rPr>
        <w:t> </w:t>
      </w:r>
      <w:r>
        <w:rPr>
          <w:sz w:val="24"/>
        </w:rPr>
        <w:t>(2013).</w:t>
      </w:r>
    </w:p>
    <w:p>
      <w:pPr>
        <w:pStyle w:val="BodyText"/>
        <w:rPr>
          <w:sz w:val="26"/>
        </w:rPr>
      </w:pPr>
    </w:p>
    <w:p>
      <w:pPr>
        <w:pStyle w:val="BodyText"/>
        <w:spacing w:before="9"/>
        <w:rPr>
          <w:sz w:val="25"/>
        </w:rPr>
      </w:pPr>
    </w:p>
    <w:p>
      <w:pPr>
        <w:pStyle w:val="ListParagraph"/>
        <w:numPr>
          <w:ilvl w:val="2"/>
          <w:numId w:val="20"/>
        </w:numPr>
        <w:tabs>
          <w:tab w:pos="1296" w:val="left" w:leader="none"/>
        </w:tabs>
        <w:spacing w:line="357" w:lineRule="auto" w:before="1" w:after="0"/>
        <w:ind w:left="1295" w:right="1127" w:hanging="360"/>
        <w:jc w:val="left"/>
        <w:rPr>
          <w:sz w:val="24"/>
        </w:rPr>
      </w:pPr>
      <w:r>
        <w:rPr>
          <w:spacing w:val="6"/>
          <w:sz w:val="24"/>
        </w:rPr>
        <w:t>Wu</w:t>
      </w:r>
      <w:r>
        <w:rPr>
          <w:spacing w:val="-12"/>
          <w:sz w:val="24"/>
        </w:rPr>
        <w:t> </w:t>
      </w:r>
      <w:r>
        <w:rPr>
          <w:sz w:val="24"/>
        </w:rPr>
        <w:t>GH,</w:t>
      </w:r>
      <w:r>
        <w:rPr>
          <w:spacing w:val="-5"/>
          <w:sz w:val="24"/>
        </w:rPr>
        <w:t> </w:t>
      </w:r>
      <w:r>
        <w:rPr>
          <w:sz w:val="24"/>
        </w:rPr>
        <w:t>Dou</w:t>
      </w:r>
      <w:r>
        <w:rPr>
          <w:spacing w:val="-2"/>
          <w:sz w:val="24"/>
        </w:rPr>
        <w:t> </w:t>
      </w:r>
      <w:r>
        <w:rPr>
          <w:sz w:val="24"/>
        </w:rPr>
        <w:t>ZY,</w:t>
      </w:r>
      <w:r>
        <w:rPr>
          <w:spacing w:val="-3"/>
          <w:sz w:val="24"/>
        </w:rPr>
        <w:t> </w:t>
      </w:r>
      <w:r>
        <w:rPr>
          <w:sz w:val="24"/>
        </w:rPr>
        <w:t>Sun</w:t>
      </w:r>
      <w:r>
        <w:rPr>
          <w:spacing w:val="-7"/>
          <w:sz w:val="24"/>
        </w:rPr>
        <w:t> </w:t>
      </w:r>
      <w:r>
        <w:rPr>
          <w:sz w:val="24"/>
        </w:rPr>
        <w:t>DL,</w:t>
      </w:r>
      <w:r>
        <w:rPr>
          <w:spacing w:val="-3"/>
          <w:sz w:val="24"/>
        </w:rPr>
        <w:t> </w:t>
      </w:r>
      <w:r>
        <w:rPr>
          <w:sz w:val="24"/>
        </w:rPr>
        <w:t>Jiang</w:t>
      </w:r>
      <w:r>
        <w:rPr>
          <w:spacing w:val="-7"/>
          <w:sz w:val="24"/>
        </w:rPr>
        <w:t> </w:t>
      </w:r>
      <w:r>
        <w:rPr>
          <w:sz w:val="24"/>
        </w:rPr>
        <w:t>LT,</w:t>
      </w:r>
      <w:r>
        <w:rPr>
          <w:spacing w:val="-3"/>
          <w:sz w:val="24"/>
        </w:rPr>
        <w:t> </w:t>
      </w:r>
      <w:r>
        <w:rPr>
          <w:sz w:val="24"/>
        </w:rPr>
        <w:t>Ding</w:t>
      </w:r>
      <w:r>
        <w:rPr>
          <w:spacing w:val="-7"/>
          <w:sz w:val="24"/>
        </w:rPr>
        <w:t> </w:t>
      </w:r>
      <w:r>
        <w:rPr>
          <w:sz w:val="24"/>
        </w:rPr>
        <w:t>BS,</w:t>
      </w:r>
      <w:r>
        <w:rPr>
          <w:spacing w:val="-8"/>
          <w:sz w:val="24"/>
        </w:rPr>
        <w:t> </w:t>
      </w:r>
      <w:r>
        <w:rPr>
          <w:sz w:val="24"/>
        </w:rPr>
        <w:t>He</w:t>
      </w:r>
      <w:r>
        <w:rPr>
          <w:spacing w:val="-3"/>
          <w:sz w:val="24"/>
        </w:rPr>
        <w:t> </w:t>
      </w:r>
      <w:r>
        <w:rPr>
          <w:sz w:val="24"/>
        </w:rPr>
        <w:t>BF. Scr</w:t>
      </w:r>
      <w:r>
        <w:rPr>
          <w:spacing w:val="-4"/>
          <w:sz w:val="24"/>
        </w:rPr>
        <w:t> </w:t>
      </w:r>
      <w:r>
        <w:rPr>
          <w:sz w:val="24"/>
        </w:rPr>
        <w:t>Mater</w:t>
      </w:r>
      <w:r>
        <w:rPr>
          <w:spacing w:val="-3"/>
          <w:sz w:val="24"/>
        </w:rPr>
        <w:t> </w:t>
      </w:r>
      <w:r>
        <w:rPr>
          <w:sz w:val="24"/>
        </w:rPr>
        <w:t>2007; 56:221.</w:t>
      </w:r>
    </w:p>
    <w:p>
      <w:pPr>
        <w:pStyle w:val="BodyText"/>
        <w:rPr>
          <w:sz w:val="26"/>
        </w:rPr>
      </w:pPr>
    </w:p>
    <w:p>
      <w:pPr>
        <w:pStyle w:val="ListParagraph"/>
        <w:numPr>
          <w:ilvl w:val="2"/>
          <w:numId w:val="20"/>
        </w:numPr>
        <w:tabs>
          <w:tab w:pos="1296" w:val="left" w:leader="none"/>
        </w:tabs>
        <w:spacing w:line="240" w:lineRule="auto" w:before="160" w:after="0"/>
        <w:ind w:left="1295" w:right="0" w:hanging="361"/>
        <w:jc w:val="left"/>
        <w:rPr>
          <w:sz w:val="24"/>
        </w:rPr>
      </w:pPr>
      <w:r>
        <w:rPr>
          <w:sz w:val="24"/>
        </w:rPr>
        <w:t>Vendra LJ, Rabiei A. Mater Sci Eng A 465 (2007)</w:t>
      </w:r>
      <w:r>
        <w:rPr>
          <w:spacing w:val="-11"/>
          <w:sz w:val="24"/>
        </w:rPr>
        <w:t> </w:t>
      </w:r>
      <w:r>
        <w:rPr>
          <w:sz w:val="24"/>
        </w:rPr>
        <w:t>59–67.</w:t>
      </w:r>
    </w:p>
    <w:p>
      <w:pPr>
        <w:pStyle w:val="BodyText"/>
        <w:rPr>
          <w:sz w:val="26"/>
        </w:rPr>
      </w:pPr>
    </w:p>
    <w:p>
      <w:pPr>
        <w:pStyle w:val="BodyText"/>
        <w:rPr>
          <w:sz w:val="26"/>
        </w:rPr>
      </w:pPr>
    </w:p>
    <w:p>
      <w:pPr>
        <w:pStyle w:val="BodyText"/>
        <w:spacing w:before="2"/>
        <w:rPr>
          <w:sz w:val="28"/>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Daoud A. J Alloys Compd. 2009;</w:t>
      </w:r>
      <w:r>
        <w:rPr>
          <w:spacing w:val="-30"/>
          <w:sz w:val="24"/>
        </w:rPr>
        <w:t> </w:t>
      </w:r>
      <w:r>
        <w:rPr>
          <w:sz w:val="24"/>
        </w:rPr>
        <w:t>487:618.</w:t>
      </w:r>
    </w:p>
    <w:p>
      <w:pPr>
        <w:pStyle w:val="BodyText"/>
        <w:rPr>
          <w:sz w:val="26"/>
        </w:rPr>
      </w:pPr>
    </w:p>
    <w:p>
      <w:pPr>
        <w:pStyle w:val="BodyText"/>
        <w:rPr>
          <w:sz w:val="26"/>
        </w:rPr>
      </w:pPr>
    </w:p>
    <w:p>
      <w:pPr>
        <w:pStyle w:val="BodyText"/>
        <w:spacing w:before="5"/>
        <w:rPr>
          <w:sz w:val="20"/>
        </w:rPr>
      </w:pPr>
    </w:p>
    <w:p>
      <w:pPr>
        <w:pStyle w:val="ListParagraph"/>
        <w:numPr>
          <w:ilvl w:val="2"/>
          <w:numId w:val="20"/>
        </w:numPr>
        <w:tabs>
          <w:tab w:pos="1296" w:val="left" w:leader="none"/>
        </w:tabs>
        <w:spacing w:line="360" w:lineRule="auto" w:before="0" w:after="0"/>
        <w:ind w:left="1295" w:right="881" w:hanging="360"/>
        <w:jc w:val="both"/>
        <w:rPr>
          <w:sz w:val="24"/>
        </w:rPr>
      </w:pPr>
      <w:r>
        <w:rPr>
          <w:sz w:val="24"/>
        </w:rPr>
        <w:t>Schultz B, Rohatgi P, Metal Matrix Syntactic Foam: Processing, microstructure,</w:t>
      </w:r>
      <w:r>
        <w:rPr>
          <w:spacing w:val="-16"/>
          <w:sz w:val="24"/>
        </w:rPr>
        <w:t> </w:t>
      </w:r>
      <w:r>
        <w:rPr>
          <w:sz w:val="24"/>
        </w:rPr>
        <w:t>properties,</w:t>
      </w:r>
      <w:r>
        <w:rPr>
          <w:spacing w:val="-15"/>
          <w:sz w:val="24"/>
        </w:rPr>
        <w:t> </w:t>
      </w:r>
      <w:r>
        <w:rPr>
          <w:sz w:val="24"/>
        </w:rPr>
        <w:t>applications.</w:t>
      </w:r>
      <w:r>
        <w:rPr>
          <w:spacing w:val="-11"/>
          <w:sz w:val="24"/>
        </w:rPr>
        <w:t> </w:t>
      </w:r>
      <w:r>
        <w:rPr>
          <w:sz w:val="24"/>
        </w:rPr>
        <w:t>Chapter</w:t>
      </w:r>
      <w:r>
        <w:rPr>
          <w:spacing w:val="-16"/>
          <w:sz w:val="24"/>
        </w:rPr>
        <w:t> </w:t>
      </w:r>
      <w:r>
        <w:rPr>
          <w:sz w:val="24"/>
        </w:rPr>
        <w:t>3,</w:t>
      </w:r>
      <w:r>
        <w:rPr>
          <w:spacing w:val="-17"/>
          <w:sz w:val="24"/>
        </w:rPr>
        <w:t> </w:t>
      </w:r>
      <w:r>
        <w:rPr>
          <w:sz w:val="24"/>
        </w:rPr>
        <w:t>ed.</w:t>
      </w:r>
      <w:r>
        <w:rPr>
          <w:spacing w:val="-17"/>
          <w:sz w:val="24"/>
        </w:rPr>
        <w:t> </w:t>
      </w:r>
      <w:r>
        <w:rPr>
          <w:sz w:val="24"/>
        </w:rPr>
        <w:t>Gupta</w:t>
      </w:r>
      <w:r>
        <w:rPr>
          <w:spacing w:val="-15"/>
          <w:sz w:val="24"/>
        </w:rPr>
        <w:t> </w:t>
      </w:r>
      <w:r>
        <w:rPr>
          <w:sz w:val="24"/>
        </w:rPr>
        <w:t>N,</w:t>
      </w:r>
      <w:r>
        <w:rPr>
          <w:spacing w:val="-18"/>
          <w:sz w:val="24"/>
        </w:rPr>
        <w:t> </w:t>
      </w:r>
      <w:r>
        <w:rPr>
          <w:sz w:val="24"/>
        </w:rPr>
        <w:t>Rohatgi P (DEStech Publications, Inc);</w:t>
      </w:r>
      <w:r>
        <w:rPr>
          <w:spacing w:val="-3"/>
          <w:sz w:val="24"/>
        </w:rPr>
        <w:t> </w:t>
      </w:r>
      <w:r>
        <w:rPr>
          <w:sz w:val="24"/>
        </w:rPr>
        <w:t>2015.</w:t>
      </w:r>
    </w:p>
    <w:p>
      <w:pPr>
        <w:pStyle w:val="BodyText"/>
        <w:rPr>
          <w:sz w:val="26"/>
        </w:rPr>
      </w:pPr>
    </w:p>
    <w:p>
      <w:pPr>
        <w:pStyle w:val="BodyText"/>
        <w:spacing w:before="10"/>
        <w:rPr>
          <w:sz w:val="25"/>
        </w:rPr>
      </w:pPr>
    </w:p>
    <w:p>
      <w:pPr>
        <w:pStyle w:val="ListParagraph"/>
        <w:numPr>
          <w:ilvl w:val="2"/>
          <w:numId w:val="20"/>
        </w:numPr>
        <w:tabs>
          <w:tab w:pos="1296" w:val="left" w:leader="none"/>
        </w:tabs>
        <w:spacing w:line="360" w:lineRule="auto" w:before="0" w:after="0"/>
        <w:ind w:left="1295" w:right="1022" w:hanging="360"/>
        <w:jc w:val="left"/>
        <w:rPr>
          <w:sz w:val="24"/>
        </w:rPr>
      </w:pPr>
      <w:r>
        <w:rPr>
          <w:sz w:val="24"/>
        </w:rPr>
        <w:t>Gladysz GM, Chawla KK, Boccaccini AR. J Mater Sci (2012)</w:t>
      </w:r>
      <w:r>
        <w:rPr>
          <w:spacing w:val="-45"/>
          <w:sz w:val="24"/>
        </w:rPr>
        <w:t> </w:t>
      </w:r>
      <w:r>
        <w:rPr>
          <w:sz w:val="24"/>
        </w:rPr>
        <w:t>47:5625– 5626.</w:t>
      </w:r>
    </w:p>
    <w:p>
      <w:pPr>
        <w:pStyle w:val="BodyText"/>
        <w:rPr>
          <w:sz w:val="26"/>
        </w:rPr>
      </w:pPr>
    </w:p>
    <w:p>
      <w:pPr>
        <w:pStyle w:val="BodyText"/>
        <w:spacing w:before="10"/>
        <w:rPr>
          <w:sz w:val="26"/>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Mortensen A, Jin I. Int. Mater. Rev. 37, 101</w:t>
      </w:r>
      <w:r>
        <w:rPr>
          <w:spacing w:val="-3"/>
          <w:sz w:val="24"/>
        </w:rPr>
        <w:t> </w:t>
      </w:r>
      <w:r>
        <w:rPr>
          <w:sz w:val="24"/>
        </w:rPr>
        <w:t>(1992).</w:t>
      </w:r>
    </w:p>
    <w:p>
      <w:pPr>
        <w:pStyle w:val="BodyText"/>
        <w:rPr>
          <w:sz w:val="26"/>
        </w:rPr>
      </w:pPr>
    </w:p>
    <w:p>
      <w:pPr>
        <w:pStyle w:val="BodyText"/>
        <w:rPr>
          <w:sz w:val="26"/>
        </w:rPr>
      </w:pPr>
    </w:p>
    <w:p>
      <w:pPr>
        <w:pStyle w:val="BodyText"/>
        <w:spacing w:before="2"/>
        <w:rPr>
          <w:sz w:val="29"/>
        </w:rPr>
      </w:pPr>
    </w:p>
    <w:p>
      <w:pPr>
        <w:pStyle w:val="ListParagraph"/>
        <w:numPr>
          <w:ilvl w:val="2"/>
          <w:numId w:val="20"/>
        </w:numPr>
        <w:tabs>
          <w:tab w:pos="1296" w:val="left" w:leader="none"/>
        </w:tabs>
        <w:spacing w:line="357" w:lineRule="auto" w:before="0" w:after="0"/>
        <w:ind w:left="1295" w:right="1011" w:hanging="360"/>
        <w:jc w:val="left"/>
        <w:rPr>
          <w:sz w:val="24"/>
        </w:rPr>
      </w:pPr>
      <w:r>
        <w:rPr>
          <w:sz w:val="24"/>
        </w:rPr>
        <w:t>Chandler</w:t>
      </w:r>
      <w:r>
        <w:rPr>
          <w:spacing w:val="-14"/>
          <w:sz w:val="24"/>
        </w:rPr>
        <w:t> </w:t>
      </w:r>
      <w:r>
        <w:rPr>
          <w:sz w:val="24"/>
        </w:rPr>
        <w:t>H,</w:t>
      </w:r>
      <w:r>
        <w:rPr>
          <w:spacing w:val="-14"/>
          <w:sz w:val="24"/>
        </w:rPr>
        <w:t> </w:t>
      </w:r>
      <w:r>
        <w:rPr>
          <w:sz w:val="24"/>
        </w:rPr>
        <w:t>ed.</w:t>
      </w:r>
      <w:r>
        <w:rPr>
          <w:spacing w:val="-12"/>
          <w:sz w:val="24"/>
        </w:rPr>
        <w:t> </w:t>
      </w:r>
      <w:r>
        <w:rPr>
          <w:sz w:val="24"/>
        </w:rPr>
        <w:t>Heat</w:t>
      </w:r>
      <w:r>
        <w:rPr>
          <w:spacing w:val="-14"/>
          <w:sz w:val="24"/>
        </w:rPr>
        <w:t> </w:t>
      </w:r>
      <w:r>
        <w:rPr>
          <w:sz w:val="24"/>
        </w:rPr>
        <w:t>Treater’s</w:t>
      </w:r>
      <w:r>
        <w:rPr>
          <w:spacing w:val="-14"/>
          <w:sz w:val="24"/>
        </w:rPr>
        <w:t> </w:t>
      </w:r>
      <w:r>
        <w:rPr>
          <w:sz w:val="24"/>
        </w:rPr>
        <w:t>Guide,</w:t>
      </w:r>
      <w:r>
        <w:rPr>
          <w:spacing w:val="-14"/>
          <w:sz w:val="24"/>
        </w:rPr>
        <w:t> </w:t>
      </w:r>
      <w:r>
        <w:rPr>
          <w:sz w:val="24"/>
        </w:rPr>
        <w:t>ASM</w:t>
      </w:r>
      <w:r>
        <w:rPr>
          <w:spacing w:val="-13"/>
          <w:sz w:val="24"/>
        </w:rPr>
        <w:t> </w:t>
      </w:r>
      <w:r>
        <w:rPr>
          <w:sz w:val="24"/>
        </w:rPr>
        <w:t>International</w:t>
      </w:r>
      <w:r>
        <w:rPr>
          <w:spacing w:val="-13"/>
          <w:sz w:val="24"/>
        </w:rPr>
        <w:t> </w:t>
      </w:r>
      <w:r>
        <w:rPr>
          <w:sz w:val="24"/>
        </w:rPr>
        <w:t>1996,</w:t>
      </w:r>
      <w:r>
        <w:rPr>
          <w:spacing w:val="-14"/>
          <w:sz w:val="24"/>
        </w:rPr>
        <w:t> </w:t>
      </w:r>
      <w:r>
        <w:rPr>
          <w:sz w:val="24"/>
        </w:rPr>
        <w:t>pp.135- 145.</w:t>
      </w:r>
    </w:p>
    <w:p>
      <w:pPr>
        <w:pStyle w:val="BodyText"/>
        <w:rPr>
          <w:sz w:val="26"/>
        </w:rPr>
      </w:pPr>
    </w:p>
    <w:p>
      <w:pPr>
        <w:pStyle w:val="BodyText"/>
        <w:spacing w:before="1"/>
        <w:rPr>
          <w:sz w:val="26"/>
        </w:rPr>
      </w:pPr>
    </w:p>
    <w:p>
      <w:pPr>
        <w:pStyle w:val="ListParagraph"/>
        <w:numPr>
          <w:ilvl w:val="2"/>
          <w:numId w:val="20"/>
        </w:numPr>
        <w:tabs>
          <w:tab w:pos="1296" w:val="left" w:leader="none"/>
        </w:tabs>
        <w:spacing w:line="357" w:lineRule="auto" w:before="0" w:after="0"/>
        <w:ind w:left="1295" w:right="1492" w:hanging="360"/>
        <w:jc w:val="left"/>
        <w:rPr>
          <w:sz w:val="24"/>
        </w:rPr>
      </w:pPr>
      <w:r>
        <w:rPr>
          <w:sz w:val="24"/>
        </w:rPr>
        <w:t>Talamantes-Silva</w:t>
      </w:r>
      <w:r>
        <w:rPr>
          <w:spacing w:val="-17"/>
          <w:sz w:val="24"/>
        </w:rPr>
        <w:t> </w:t>
      </w:r>
      <w:r>
        <w:rPr>
          <w:sz w:val="24"/>
        </w:rPr>
        <w:t>M,</w:t>
      </w:r>
      <w:r>
        <w:rPr>
          <w:spacing w:val="-16"/>
          <w:sz w:val="24"/>
        </w:rPr>
        <w:t> </w:t>
      </w:r>
      <w:r>
        <w:rPr>
          <w:sz w:val="24"/>
        </w:rPr>
        <w:t>Rodríguez</w:t>
      </w:r>
      <w:r>
        <w:rPr>
          <w:spacing w:val="-19"/>
          <w:sz w:val="24"/>
        </w:rPr>
        <w:t> </w:t>
      </w:r>
      <w:r>
        <w:rPr>
          <w:sz w:val="24"/>
        </w:rPr>
        <w:t>A,</w:t>
      </w:r>
      <w:r>
        <w:rPr>
          <w:spacing w:val="-16"/>
          <w:sz w:val="24"/>
        </w:rPr>
        <w:t> </w:t>
      </w:r>
      <w:r>
        <w:rPr>
          <w:sz w:val="24"/>
        </w:rPr>
        <w:t>Talamantes-Silva</w:t>
      </w:r>
      <w:r>
        <w:rPr>
          <w:spacing w:val="-16"/>
          <w:sz w:val="24"/>
        </w:rPr>
        <w:t> </w:t>
      </w:r>
      <w:r>
        <w:rPr>
          <w:sz w:val="24"/>
        </w:rPr>
        <w:t>J,</w:t>
      </w:r>
      <w:r>
        <w:rPr>
          <w:spacing w:val="-16"/>
          <w:sz w:val="24"/>
        </w:rPr>
        <w:t> </w:t>
      </w:r>
      <w:r>
        <w:rPr>
          <w:sz w:val="24"/>
        </w:rPr>
        <w:t>Valtierra</w:t>
      </w:r>
      <w:r>
        <w:rPr>
          <w:spacing w:val="-15"/>
          <w:sz w:val="24"/>
        </w:rPr>
        <w:t> </w:t>
      </w:r>
      <w:r>
        <w:rPr>
          <w:sz w:val="24"/>
        </w:rPr>
        <w:t>S, Colás R. Metall. Mater Trans B. 39, 911</w:t>
      </w:r>
      <w:r>
        <w:rPr>
          <w:spacing w:val="-17"/>
          <w:sz w:val="24"/>
        </w:rPr>
        <w:t> </w:t>
      </w:r>
      <w:r>
        <w:rPr>
          <w:sz w:val="24"/>
        </w:rPr>
        <w:t>(2008).</w:t>
      </w:r>
    </w:p>
    <w:p>
      <w:pPr>
        <w:spacing w:after="0" w:line="357" w:lineRule="auto"/>
        <w:jc w:val="left"/>
        <w:rPr>
          <w:sz w:val="24"/>
        </w:rPr>
        <w:sectPr>
          <w:pgSz w:w="12240" w:h="15840"/>
          <w:pgMar w:header="0" w:footer="1839" w:top="1400" w:bottom="2060" w:left="1520" w:right="940"/>
        </w:sectPr>
      </w:pPr>
    </w:p>
    <w:p>
      <w:pPr>
        <w:pStyle w:val="ListParagraph"/>
        <w:numPr>
          <w:ilvl w:val="2"/>
          <w:numId w:val="20"/>
        </w:numPr>
        <w:tabs>
          <w:tab w:pos="1296" w:val="left" w:leader="none"/>
        </w:tabs>
        <w:spacing w:line="357" w:lineRule="auto" w:before="79" w:after="0"/>
        <w:ind w:left="1295" w:right="1511" w:hanging="360"/>
        <w:jc w:val="left"/>
        <w:rPr>
          <w:sz w:val="24"/>
        </w:rPr>
      </w:pPr>
      <w:r>
        <w:rPr>
          <w:sz w:val="24"/>
        </w:rPr>
        <w:t>Bäckerud</w:t>
      </w:r>
      <w:r>
        <w:rPr>
          <w:spacing w:val="-13"/>
          <w:sz w:val="24"/>
        </w:rPr>
        <w:t> </w:t>
      </w:r>
      <w:r>
        <w:rPr>
          <w:sz w:val="24"/>
        </w:rPr>
        <w:t>L,</w:t>
      </w:r>
      <w:r>
        <w:rPr>
          <w:spacing w:val="-15"/>
          <w:sz w:val="24"/>
        </w:rPr>
        <w:t> </w:t>
      </w:r>
      <w:r>
        <w:rPr>
          <w:sz w:val="24"/>
        </w:rPr>
        <w:t>Chai</w:t>
      </w:r>
      <w:r>
        <w:rPr>
          <w:spacing w:val="-15"/>
          <w:sz w:val="24"/>
        </w:rPr>
        <w:t> </w:t>
      </w:r>
      <w:r>
        <w:rPr>
          <w:sz w:val="24"/>
        </w:rPr>
        <w:t>GJ.</w:t>
      </w:r>
      <w:r>
        <w:rPr>
          <w:spacing w:val="-19"/>
          <w:sz w:val="24"/>
        </w:rPr>
        <w:t> </w:t>
      </w:r>
      <w:r>
        <w:rPr>
          <w:sz w:val="24"/>
        </w:rPr>
        <w:t>Tamminen</w:t>
      </w:r>
      <w:r>
        <w:rPr>
          <w:spacing w:val="-13"/>
          <w:sz w:val="24"/>
        </w:rPr>
        <w:t> </w:t>
      </w:r>
      <w:r>
        <w:rPr>
          <w:sz w:val="24"/>
        </w:rPr>
        <w:t>J.</w:t>
      </w:r>
      <w:r>
        <w:rPr>
          <w:spacing w:val="-17"/>
          <w:sz w:val="24"/>
        </w:rPr>
        <w:t> </w:t>
      </w:r>
      <w:r>
        <w:rPr>
          <w:sz w:val="24"/>
        </w:rPr>
        <w:t>Solidification</w:t>
      </w:r>
      <w:r>
        <w:rPr>
          <w:spacing w:val="-13"/>
          <w:sz w:val="24"/>
        </w:rPr>
        <w:t> </w:t>
      </w:r>
      <w:r>
        <w:rPr>
          <w:sz w:val="24"/>
        </w:rPr>
        <w:t>Characteristics</w:t>
      </w:r>
      <w:r>
        <w:rPr>
          <w:spacing w:val="-15"/>
          <w:sz w:val="24"/>
        </w:rPr>
        <w:t> </w:t>
      </w:r>
      <w:r>
        <w:rPr>
          <w:sz w:val="24"/>
        </w:rPr>
        <w:t>of Aluminum Alloys vol. 2, AFS 1990, pp.</w:t>
      </w:r>
      <w:r>
        <w:rPr>
          <w:spacing w:val="-3"/>
          <w:sz w:val="24"/>
        </w:rPr>
        <w:t> </w:t>
      </w:r>
      <w:r>
        <w:rPr>
          <w:sz w:val="24"/>
        </w:rPr>
        <w:t>63-69.</w:t>
      </w:r>
    </w:p>
    <w:p>
      <w:pPr>
        <w:pStyle w:val="BodyText"/>
        <w:rPr>
          <w:sz w:val="26"/>
        </w:rPr>
      </w:pPr>
    </w:p>
    <w:p>
      <w:pPr>
        <w:pStyle w:val="ListParagraph"/>
        <w:numPr>
          <w:ilvl w:val="2"/>
          <w:numId w:val="20"/>
        </w:numPr>
        <w:tabs>
          <w:tab w:pos="1296" w:val="left" w:leader="none"/>
        </w:tabs>
        <w:spacing w:line="240" w:lineRule="auto" w:before="232" w:after="0"/>
        <w:ind w:left="1295" w:right="0" w:hanging="361"/>
        <w:jc w:val="left"/>
        <w:rPr>
          <w:sz w:val="24"/>
        </w:rPr>
      </w:pPr>
      <w:r>
        <w:rPr>
          <w:sz w:val="24"/>
        </w:rPr>
        <w:t>Srinivasa A, Swaminathan J, Gunjan M, U. Pillai U, Pai B. Mater.</w:t>
      </w:r>
      <w:r>
        <w:rPr>
          <w:spacing w:val="-14"/>
          <w:sz w:val="24"/>
        </w:rPr>
        <w:t> </w:t>
      </w:r>
      <w:r>
        <w:rPr>
          <w:sz w:val="24"/>
        </w:rPr>
        <w:t>Sci.</w:t>
      </w:r>
    </w:p>
    <w:p>
      <w:pPr>
        <w:pStyle w:val="BodyText"/>
        <w:rPr>
          <w:sz w:val="26"/>
        </w:rPr>
      </w:pPr>
    </w:p>
    <w:p>
      <w:pPr>
        <w:pStyle w:val="BodyText"/>
        <w:spacing w:before="172"/>
        <w:ind w:left="1295"/>
      </w:pPr>
      <w:r>
        <w:rPr/>
        <w:t>Eng. A. 527, 1395 (2010).</w:t>
      </w:r>
    </w:p>
    <w:p>
      <w:pPr>
        <w:pStyle w:val="BodyText"/>
        <w:rPr>
          <w:sz w:val="26"/>
        </w:rPr>
      </w:pPr>
    </w:p>
    <w:p>
      <w:pPr>
        <w:pStyle w:val="BodyText"/>
        <w:rPr>
          <w:sz w:val="26"/>
        </w:rPr>
      </w:pPr>
    </w:p>
    <w:p>
      <w:pPr>
        <w:pStyle w:val="BodyText"/>
        <w:spacing w:before="4"/>
        <w:rPr>
          <w:sz w:val="20"/>
        </w:rPr>
      </w:pPr>
    </w:p>
    <w:p>
      <w:pPr>
        <w:pStyle w:val="ListParagraph"/>
        <w:numPr>
          <w:ilvl w:val="2"/>
          <w:numId w:val="20"/>
        </w:numPr>
        <w:tabs>
          <w:tab w:pos="1296" w:val="left" w:leader="none"/>
        </w:tabs>
        <w:spacing w:line="357" w:lineRule="auto" w:before="1" w:after="0"/>
        <w:ind w:left="1295" w:right="1656" w:hanging="360"/>
        <w:jc w:val="left"/>
        <w:rPr>
          <w:sz w:val="24"/>
        </w:rPr>
      </w:pPr>
      <w:r>
        <w:rPr>
          <w:sz w:val="24"/>
        </w:rPr>
        <w:t>Braszczyńska-Malik</w:t>
      </w:r>
      <w:r>
        <w:rPr>
          <w:spacing w:val="-14"/>
          <w:sz w:val="24"/>
        </w:rPr>
        <w:t> </w:t>
      </w:r>
      <w:r>
        <w:rPr>
          <w:sz w:val="24"/>
        </w:rPr>
        <w:t>KN,</w:t>
      </w:r>
      <w:r>
        <w:rPr>
          <w:spacing w:val="-12"/>
          <w:sz w:val="24"/>
        </w:rPr>
        <w:t> </w:t>
      </w:r>
      <w:r>
        <w:rPr>
          <w:sz w:val="24"/>
        </w:rPr>
        <w:t>and</w:t>
      </w:r>
      <w:r>
        <w:rPr>
          <w:spacing w:val="-14"/>
          <w:sz w:val="24"/>
        </w:rPr>
        <w:t> </w:t>
      </w:r>
      <w:r>
        <w:rPr>
          <w:sz w:val="24"/>
        </w:rPr>
        <w:t>Zyska</w:t>
      </w:r>
      <w:r>
        <w:rPr>
          <w:spacing w:val="-10"/>
          <w:sz w:val="24"/>
        </w:rPr>
        <w:t> </w:t>
      </w:r>
      <w:r>
        <w:rPr>
          <w:sz w:val="24"/>
        </w:rPr>
        <w:t>A.</w:t>
      </w:r>
      <w:r>
        <w:rPr>
          <w:spacing w:val="-12"/>
          <w:sz w:val="24"/>
        </w:rPr>
        <w:t> </w:t>
      </w:r>
      <w:r>
        <w:rPr>
          <w:sz w:val="24"/>
        </w:rPr>
        <w:t>Arch.</w:t>
      </w:r>
      <w:r>
        <w:rPr>
          <w:spacing w:val="-16"/>
          <w:sz w:val="24"/>
        </w:rPr>
        <w:t> </w:t>
      </w:r>
      <w:r>
        <w:rPr>
          <w:sz w:val="24"/>
        </w:rPr>
        <w:t>Foundry</w:t>
      </w:r>
      <w:r>
        <w:rPr>
          <w:spacing w:val="-18"/>
          <w:sz w:val="24"/>
        </w:rPr>
        <w:t> </w:t>
      </w:r>
      <w:r>
        <w:rPr>
          <w:sz w:val="24"/>
        </w:rPr>
        <w:t>Eng.</w:t>
      </w:r>
      <w:r>
        <w:rPr>
          <w:spacing w:val="-12"/>
          <w:sz w:val="24"/>
        </w:rPr>
        <w:t> </w:t>
      </w:r>
      <w:r>
        <w:rPr>
          <w:sz w:val="24"/>
        </w:rPr>
        <w:t>10,</w:t>
      </w:r>
      <w:r>
        <w:rPr>
          <w:spacing w:val="-11"/>
          <w:sz w:val="24"/>
        </w:rPr>
        <w:t> </w:t>
      </w:r>
      <w:r>
        <w:rPr>
          <w:sz w:val="24"/>
        </w:rPr>
        <w:t>23 (2010).</w:t>
      </w:r>
    </w:p>
    <w:p>
      <w:pPr>
        <w:pStyle w:val="BodyText"/>
        <w:rPr>
          <w:sz w:val="26"/>
        </w:rPr>
      </w:pPr>
    </w:p>
    <w:p>
      <w:pPr>
        <w:pStyle w:val="BodyText"/>
        <w:rPr>
          <w:sz w:val="26"/>
        </w:rPr>
      </w:pPr>
    </w:p>
    <w:p>
      <w:pPr>
        <w:pStyle w:val="ListParagraph"/>
        <w:numPr>
          <w:ilvl w:val="2"/>
          <w:numId w:val="20"/>
        </w:numPr>
        <w:tabs>
          <w:tab w:pos="1296" w:val="left" w:leader="none"/>
        </w:tabs>
        <w:spacing w:line="357" w:lineRule="auto" w:before="1" w:after="0"/>
        <w:ind w:left="1295" w:right="1307" w:hanging="360"/>
        <w:jc w:val="left"/>
        <w:rPr>
          <w:sz w:val="24"/>
        </w:rPr>
      </w:pPr>
      <w:r>
        <w:rPr>
          <w:sz w:val="24"/>
        </w:rPr>
        <w:t>Ureña</w:t>
      </w:r>
      <w:r>
        <w:rPr>
          <w:spacing w:val="-9"/>
          <w:sz w:val="24"/>
        </w:rPr>
        <w:t> </w:t>
      </w:r>
      <w:r>
        <w:rPr>
          <w:sz w:val="24"/>
        </w:rPr>
        <w:t>A,</w:t>
      </w:r>
      <w:r>
        <w:rPr>
          <w:spacing w:val="-12"/>
          <w:sz w:val="24"/>
        </w:rPr>
        <w:t> </w:t>
      </w:r>
      <w:r>
        <w:rPr>
          <w:sz w:val="24"/>
        </w:rPr>
        <w:t>Gómez</w:t>
      </w:r>
      <w:r>
        <w:rPr>
          <w:spacing w:val="-14"/>
          <w:sz w:val="24"/>
        </w:rPr>
        <w:t> </w:t>
      </w:r>
      <w:r>
        <w:rPr>
          <w:sz w:val="24"/>
        </w:rPr>
        <w:t>de</w:t>
      </w:r>
      <w:r>
        <w:rPr>
          <w:spacing w:val="-11"/>
          <w:sz w:val="24"/>
        </w:rPr>
        <w:t> </w:t>
      </w:r>
      <w:r>
        <w:rPr>
          <w:sz w:val="24"/>
        </w:rPr>
        <w:t>Salazar</w:t>
      </w:r>
      <w:r>
        <w:rPr>
          <w:spacing w:val="-8"/>
          <w:sz w:val="24"/>
        </w:rPr>
        <w:t> </w:t>
      </w:r>
      <w:r>
        <w:rPr>
          <w:sz w:val="24"/>
        </w:rPr>
        <w:t>JM,</w:t>
      </w:r>
      <w:r>
        <w:rPr>
          <w:spacing w:val="-10"/>
          <w:sz w:val="24"/>
        </w:rPr>
        <w:t> </w:t>
      </w:r>
      <w:r>
        <w:rPr>
          <w:sz w:val="24"/>
        </w:rPr>
        <w:t>Gil</w:t>
      </w:r>
      <w:r>
        <w:rPr>
          <w:spacing w:val="-10"/>
          <w:sz w:val="24"/>
        </w:rPr>
        <w:t> </w:t>
      </w:r>
      <w:r>
        <w:rPr>
          <w:sz w:val="24"/>
        </w:rPr>
        <w:t>L,</w:t>
      </w:r>
      <w:r>
        <w:rPr>
          <w:spacing w:val="-10"/>
          <w:sz w:val="24"/>
        </w:rPr>
        <w:t> </w:t>
      </w:r>
      <w:r>
        <w:rPr>
          <w:sz w:val="24"/>
        </w:rPr>
        <w:t>Escalera</w:t>
      </w:r>
      <w:r>
        <w:rPr>
          <w:spacing w:val="-9"/>
          <w:sz w:val="24"/>
        </w:rPr>
        <w:t> </w:t>
      </w:r>
      <w:r>
        <w:rPr>
          <w:sz w:val="24"/>
        </w:rPr>
        <w:t>M,</w:t>
      </w:r>
      <w:r>
        <w:rPr>
          <w:spacing w:val="-10"/>
          <w:sz w:val="24"/>
        </w:rPr>
        <w:t> </w:t>
      </w:r>
      <w:r>
        <w:rPr>
          <w:sz w:val="24"/>
        </w:rPr>
        <w:t>Baldonedo</w:t>
      </w:r>
      <w:r>
        <w:rPr>
          <w:spacing w:val="-6"/>
          <w:sz w:val="24"/>
        </w:rPr>
        <w:t> </w:t>
      </w:r>
      <w:r>
        <w:rPr>
          <w:sz w:val="24"/>
        </w:rPr>
        <w:t>JL.</w:t>
      </w:r>
      <w:r>
        <w:rPr>
          <w:spacing w:val="-12"/>
          <w:sz w:val="24"/>
        </w:rPr>
        <w:t> </w:t>
      </w:r>
      <w:r>
        <w:rPr>
          <w:sz w:val="24"/>
        </w:rPr>
        <w:t>J. Microsc. 196, 124</w:t>
      </w:r>
      <w:r>
        <w:rPr>
          <w:spacing w:val="-1"/>
          <w:sz w:val="24"/>
        </w:rPr>
        <w:t> </w:t>
      </w:r>
      <w:r>
        <w:rPr>
          <w:sz w:val="24"/>
        </w:rPr>
        <w:t>(1999).</w:t>
      </w:r>
    </w:p>
    <w:p>
      <w:pPr>
        <w:pStyle w:val="BodyText"/>
        <w:rPr>
          <w:sz w:val="26"/>
        </w:rPr>
      </w:pPr>
    </w:p>
    <w:p>
      <w:pPr>
        <w:pStyle w:val="BodyText"/>
        <w:spacing w:before="4"/>
        <w:rPr>
          <w:sz w:val="20"/>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Luo A. Metall. Mater. Trans. A. 26, 2445</w:t>
      </w:r>
      <w:r>
        <w:rPr>
          <w:spacing w:val="-12"/>
          <w:sz w:val="24"/>
        </w:rPr>
        <w:t> </w:t>
      </w:r>
      <w:r>
        <w:rPr>
          <w:sz w:val="24"/>
        </w:rPr>
        <w:t>(1995).</w:t>
      </w:r>
    </w:p>
    <w:p>
      <w:pPr>
        <w:pStyle w:val="BodyText"/>
        <w:rPr>
          <w:sz w:val="26"/>
        </w:rPr>
      </w:pPr>
    </w:p>
    <w:p>
      <w:pPr>
        <w:pStyle w:val="BodyText"/>
        <w:rPr>
          <w:sz w:val="26"/>
        </w:rPr>
      </w:pPr>
    </w:p>
    <w:p>
      <w:pPr>
        <w:pStyle w:val="BodyText"/>
        <w:spacing w:before="5"/>
        <w:rPr>
          <w:sz w:val="28"/>
        </w:rPr>
      </w:pPr>
    </w:p>
    <w:p>
      <w:pPr>
        <w:pStyle w:val="ListParagraph"/>
        <w:numPr>
          <w:ilvl w:val="2"/>
          <w:numId w:val="20"/>
        </w:numPr>
        <w:tabs>
          <w:tab w:pos="1296" w:val="left" w:leader="none"/>
        </w:tabs>
        <w:spacing w:line="360" w:lineRule="auto" w:before="0" w:after="0"/>
        <w:ind w:left="1295" w:right="1077" w:hanging="360"/>
        <w:jc w:val="left"/>
        <w:rPr>
          <w:sz w:val="24"/>
        </w:rPr>
      </w:pPr>
      <w:r>
        <w:rPr>
          <w:sz w:val="24"/>
        </w:rPr>
        <w:t>Dou</w:t>
      </w:r>
      <w:r>
        <w:rPr>
          <w:spacing w:val="-8"/>
          <w:sz w:val="24"/>
        </w:rPr>
        <w:t> </w:t>
      </w:r>
      <w:r>
        <w:rPr>
          <w:sz w:val="24"/>
        </w:rPr>
        <w:t>ZY,</w:t>
      </w:r>
      <w:r>
        <w:rPr>
          <w:spacing w:val="-9"/>
          <w:sz w:val="24"/>
        </w:rPr>
        <w:t> </w:t>
      </w:r>
      <w:r>
        <w:rPr>
          <w:sz w:val="24"/>
        </w:rPr>
        <w:t>Jiang</w:t>
      </w:r>
      <w:r>
        <w:rPr>
          <w:spacing w:val="-10"/>
          <w:sz w:val="24"/>
        </w:rPr>
        <w:t> </w:t>
      </w:r>
      <w:r>
        <w:rPr>
          <w:sz w:val="24"/>
        </w:rPr>
        <w:t>LT,Wu</w:t>
      </w:r>
      <w:r>
        <w:rPr>
          <w:spacing w:val="-13"/>
          <w:sz w:val="24"/>
        </w:rPr>
        <w:t> </w:t>
      </w:r>
      <w:r>
        <w:rPr>
          <w:sz w:val="24"/>
        </w:rPr>
        <w:t>GH,</w:t>
      </w:r>
      <w:r>
        <w:rPr>
          <w:spacing w:val="-9"/>
          <w:sz w:val="24"/>
        </w:rPr>
        <w:t> </w:t>
      </w:r>
      <w:r>
        <w:rPr>
          <w:sz w:val="24"/>
        </w:rPr>
        <w:t>Zhang</w:t>
      </w:r>
      <w:r>
        <w:rPr>
          <w:spacing w:val="-10"/>
          <w:sz w:val="24"/>
        </w:rPr>
        <w:t> </w:t>
      </w:r>
      <w:r>
        <w:rPr>
          <w:sz w:val="24"/>
        </w:rPr>
        <w:t>Q,</w:t>
      </w:r>
      <w:r>
        <w:rPr>
          <w:spacing w:val="-8"/>
          <w:sz w:val="24"/>
        </w:rPr>
        <w:t> </w:t>
      </w:r>
      <w:r>
        <w:rPr>
          <w:sz w:val="24"/>
        </w:rPr>
        <w:t>Xiu</w:t>
      </w:r>
      <w:r>
        <w:rPr>
          <w:spacing w:val="-8"/>
          <w:sz w:val="24"/>
        </w:rPr>
        <w:t> </w:t>
      </w:r>
      <w:r>
        <w:rPr>
          <w:sz w:val="24"/>
        </w:rPr>
        <w:t>ZY,</w:t>
      </w:r>
      <w:r>
        <w:rPr>
          <w:spacing w:val="-5"/>
          <w:sz w:val="24"/>
        </w:rPr>
        <w:t> </w:t>
      </w:r>
      <w:r>
        <w:rPr>
          <w:sz w:val="24"/>
        </w:rPr>
        <w:t>Chen</w:t>
      </w:r>
      <w:r>
        <w:rPr>
          <w:spacing w:val="-8"/>
          <w:sz w:val="24"/>
        </w:rPr>
        <w:t> </w:t>
      </w:r>
      <w:r>
        <w:rPr>
          <w:sz w:val="24"/>
        </w:rPr>
        <w:t>GQ.</w:t>
      </w:r>
      <w:r>
        <w:rPr>
          <w:spacing w:val="-8"/>
          <w:sz w:val="24"/>
        </w:rPr>
        <w:t> </w:t>
      </w:r>
      <w:r>
        <w:rPr>
          <w:sz w:val="24"/>
        </w:rPr>
        <w:t>Scr.</w:t>
      </w:r>
      <w:r>
        <w:rPr>
          <w:spacing w:val="-8"/>
          <w:sz w:val="24"/>
        </w:rPr>
        <w:t> </w:t>
      </w:r>
      <w:r>
        <w:rPr>
          <w:sz w:val="24"/>
        </w:rPr>
        <w:t>Mater.</w:t>
      </w:r>
      <w:r>
        <w:rPr>
          <w:spacing w:val="-13"/>
          <w:sz w:val="24"/>
        </w:rPr>
        <w:t> </w:t>
      </w:r>
      <w:r>
        <w:rPr>
          <w:sz w:val="24"/>
        </w:rPr>
        <w:t>57, 945 (2007).</w:t>
      </w:r>
    </w:p>
    <w:p>
      <w:pPr>
        <w:pStyle w:val="BodyText"/>
        <w:rPr>
          <w:sz w:val="26"/>
        </w:rPr>
      </w:pPr>
    </w:p>
    <w:p>
      <w:pPr>
        <w:pStyle w:val="BodyText"/>
        <w:spacing w:before="6"/>
        <w:rPr>
          <w:sz w:val="25"/>
        </w:rPr>
      </w:pPr>
    </w:p>
    <w:p>
      <w:pPr>
        <w:pStyle w:val="ListParagraph"/>
        <w:numPr>
          <w:ilvl w:val="2"/>
          <w:numId w:val="20"/>
        </w:numPr>
        <w:tabs>
          <w:tab w:pos="1296" w:val="left" w:leader="none"/>
        </w:tabs>
        <w:spacing w:line="240" w:lineRule="auto" w:before="0" w:after="0"/>
        <w:ind w:left="1295" w:right="0" w:hanging="361"/>
        <w:jc w:val="left"/>
        <w:rPr>
          <w:sz w:val="24"/>
        </w:rPr>
      </w:pPr>
      <w:r>
        <w:rPr>
          <w:sz w:val="24"/>
        </w:rPr>
        <w:t>Feng </w:t>
      </w:r>
      <w:r>
        <w:rPr>
          <w:spacing w:val="-3"/>
          <w:sz w:val="24"/>
        </w:rPr>
        <w:t>Y, </w:t>
      </w:r>
      <w:r>
        <w:rPr>
          <w:sz w:val="24"/>
        </w:rPr>
        <w:t>Tao N, Zhu Z, S. Hu S, and Pan </w:t>
      </w:r>
      <w:r>
        <w:rPr>
          <w:spacing w:val="-3"/>
          <w:sz w:val="24"/>
        </w:rPr>
        <w:t>Y. </w:t>
      </w:r>
      <w:r>
        <w:rPr>
          <w:sz w:val="24"/>
        </w:rPr>
        <w:t>Mater.Lett. 57, 4058</w:t>
      </w:r>
      <w:r>
        <w:rPr>
          <w:spacing w:val="-16"/>
          <w:sz w:val="24"/>
        </w:rPr>
        <w:t> </w:t>
      </w:r>
      <w:r>
        <w:rPr>
          <w:sz w:val="24"/>
        </w:rPr>
        <w:t>(2003).</w:t>
      </w:r>
    </w:p>
    <w:p>
      <w:pPr>
        <w:pStyle w:val="BodyText"/>
        <w:rPr>
          <w:sz w:val="26"/>
        </w:rPr>
      </w:pPr>
    </w:p>
    <w:p>
      <w:pPr>
        <w:pStyle w:val="BodyText"/>
        <w:rPr>
          <w:sz w:val="26"/>
        </w:rPr>
      </w:pPr>
    </w:p>
    <w:p>
      <w:pPr>
        <w:pStyle w:val="BodyText"/>
        <w:spacing w:before="5"/>
        <w:rPr>
          <w:sz w:val="20"/>
        </w:rPr>
      </w:pPr>
    </w:p>
    <w:p>
      <w:pPr>
        <w:pStyle w:val="ListParagraph"/>
        <w:numPr>
          <w:ilvl w:val="2"/>
          <w:numId w:val="20"/>
        </w:numPr>
        <w:tabs>
          <w:tab w:pos="1296" w:val="left" w:leader="none"/>
        </w:tabs>
        <w:spacing w:line="357" w:lineRule="auto" w:before="0" w:after="0"/>
        <w:ind w:left="1295" w:right="983" w:hanging="360"/>
        <w:jc w:val="left"/>
        <w:rPr>
          <w:sz w:val="24"/>
        </w:rPr>
      </w:pPr>
      <w:r>
        <w:rPr>
          <w:sz w:val="24"/>
        </w:rPr>
        <w:t>Kanahashi</w:t>
      </w:r>
      <w:r>
        <w:rPr>
          <w:spacing w:val="-9"/>
          <w:sz w:val="24"/>
        </w:rPr>
        <w:t> </w:t>
      </w:r>
      <w:r>
        <w:rPr>
          <w:sz w:val="24"/>
        </w:rPr>
        <w:t>H,</w:t>
      </w:r>
      <w:r>
        <w:rPr>
          <w:spacing w:val="-9"/>
          <w:sz w:val="24"/>
        </w:rPr>
        <w:t> </w:t>
      </w:r>
      <w:r>
        <w:rPr>
          <w:sz w:val="24"/>
        </w:rPr>
        <w:t>Mukai</w:t>
      </w:r>
      <w:r>
        <w:rPr>
          <w:spacing w:val="-15"/>
          <w:sz w:val="24"/>
        </w:rPr>
        <w:t> </w:t>
      </w:r>
      <w:r>
        <w:rPr>
          <w:sz w:val="24"/>
        </w:rPr>
        <w:t>T,</w:t>
      </w:r>
      <w:r>
        <w:rPr>
          <w:spacing w:val="-14"/>
          <w:sz w:val="24"/>
        </w:rPr>
        <w:t> </w:t>
      </w:r>
      <w:r>
        <w:rPr>
          <w:sz w:val="24"/>
        </w:rPr>
        <w:t>Yamada</w:t>
      </w:r>
      <w:r>
        <w:rPr>
          <w:spacing w:val="-7"/>
          <w:sz w:val="24"/>
        </w:rPr>
        <w:t> </w:t>
      </w:r>
      <w:r>
        <w:rPr>
          <w:spacing w:val="-3"/>
          <w:sz w:val="24"/>
        </w:rPr>
        <w:t>Y,</w:t>
      </w:r>
      <w:r>
        <w:rPr>
          <w:spacing w:val="-10"/>
          <w:sz w:val="24"/>
        </w:rPr>
        <w:t> </w:t>
      </w:r>
      <w:r>
        <w:rPr>
          <w:sz w:val="24"/>
        </w:rPr>
        <w:t>Shimojima</w:t>
      </w:r>
      <w:r>
        <w:rPr>
          <w:spacing w:val="-12"/>
          <w:sz w:val="24"/>
        </w:rPr>
        <w:t> </w:t>
      </w:r>
      <w:r>
        <w:rPr>
          <w:sz w:val="24"/>
        </w:rPr>
        <w:t>K,</w:t>
      </w:r>
      <w:r>
        <w:rPr>
          <w:spacing w:val="-9"/>
          <w:sz w:val="24"/>
        </w:rPr>
        <w:t> </w:t>
      </w:r>
      <w:r>
        <w:rPr>
          <w:sz w:val="24"/>
        </w:rPr>
        <w:t>Mabuchi</w:t>
      </w:r>
      <w:r>
        <w:rPr>
          <w:spacing w:val="-10"/>
          <w:sz w:val="24"/>
        </w:rPr>
        <w:t> </w:t>
      </w:r>
      <w:r>
        <w:rPr>
          <w:sz w:val="24"/>
        </w:rPr>
        <w:t>M,</w:t>
      </w:r>
      <w:r>
        <w:rPr>
          <w:spacing w:val="-11"/>
          <w:sz w:val="24"/>
        </w:rPr>
        <w:t> </w:t>
      </w:r>
      <w:r>
        <w:rPr>
          <w:sz w:val="24"/>
        </w:rPr>
        <w:t>Aizawa</w:t>
      </w:r>
      <w:r>
        <w:rPr>
          <w:spacing w:val="-7"/>
          <w:sz w:val="24"/>
        </w:rPr>
        <w:t> </w:t>
      </w:r>
      <w:r>
        <w:rPr>
          <w:sz w:val="24"/>
        </w:rPr>
        <w:t>T, Higashi K. Mater. Sci. Eng. A. 308, 283</w:t>
      </w:r>
      <w:r>
        <w:rPr>
          <w:spacing w:val="-12"/>
          <w:sz w:val="24"/>
        </w:rPr>
        <w:t> </w:t>
      </w:r>
      <w:r>
        <w:rPr>
          <w:sz w:val="24"/>
        </w:rPr>
        <w:t>(2001).</w:t>
      </w:r>
    </w:p>
    <w:p>
      <w:pPr>
        <w:pStyle w:val="BodyText"/>
        <w:rPr>
          <w:sz w:val="26"/>
        </w:rPr>
      </w:pPr>
    </w:p>
    <w:p>
      <w:pPr>
        <w:pStyle w:val="BodyText"/>
        <w:spacing w:before="1"/>
        <w:rPr>
          <w:sz w:val="26"/>
        </w:rPr>
      </w:pPr>
    </w:p>
    <w:p>
      <w:pPr>
        <w:pStyle w:val="ListParagraph"/>
        <w:numPr>
          <w:ilvl w:val="2"/>
          <w:numId w:val="20"/>
        </w:numPr>
        <w:tabs>
          <w:tab w:pos="1296" w:val="left" w:leader="none"/>
        </w:tabs>
        <w:spacing w:line="360" w:lineRule="auto" w:before="0" w:after="0"/>
        <w:ind w:left="1295" w:right="1372" w:hanging="360"/>
        <w:jc w:val="both"/>
        <w:rPr>
          <w:sz w:val="24"/>
        </w:rPr>
      </w:pPr>
      <w:r>
        <w:rPr>
          <w:sz w:val="24"/>
        </w:rPr>
        <w:t>Yamada Y, Shimojima K, Sakaguchi </w:t>
      </w:r>
      <w:r>
        <w:rPr>
          <w:spacing w:val="-3"/>
          <w:sz w:val="24"/>
        </w:rPr>
        <w:t>Y, </w:t>
      </w:r>
      <w:r>
        <w:rPr>
          <w:sz w:val="24"/>
        </w:rPr>
        <w:t>Mabuchi M, Nakamura M, Asahina</w:t>
      </w:r>
      <w:r>
        <w:rPr>
          <w:spacing w:val="-13"/>
          <w:sz w:val="24"/>
        </w:rPr>
        <w:t> </w:t>
      </w:r>
      <w:r>
        <w:rPr>
          <w:sz w:val="24"/>
        </w:rPr>
        <w:t>T,</w:t>
      </w:r>
      <w:r>
        <w:rPr>
          <w:spacing w:val="-8"/>
          <w:sz w:val="24"/>
        </w:rPr>
        <w:t> </w:t>
      </w:r>
      <w:r>
        <w:rPr>
          <w:sz w:val="24"/>
        </w:rPr>
        <w:t>Mukai</w:t>
      </w:r>
      <w:r>
        <w:rPr>
          <w:spacing w:val="-12"/>
          <w:sz w:val="24"/>
        </w:rPr>
        <w:t> </w:t>
      </w:r>
      <w:r>
        <w:rPr>
          <w:sz w:val="24"/>
        </w:rPr>
        <w:t>T,</w:t>
      </w:r>
      <w:r>
        <w:rPr>
          <w:spacing w:val="-9"/>
          <w:sz w:val="24"/>
        </w:rPr>
        <w:t> </w:t>
      </w:r>
      <w:r>
        <w:rPr>
          <w:sz w:val="24"/>
        </w:rPr>
        <w:t>Kanahashi</w:t>
      </w:r>
      <w:r>
        <w:rPr>
          <w:spacing w:val="-9"/>
          <w:sz w:val="24"/>
        </w:rPr>
        <w:t> </w:t>
      </w:r>
      <w:r>
        <w:rPr>
          <w:sz w:val="24"/>
        </w:rPr>
        <w:t>H,</w:t>
      </w:r>
      <w:r>
        <w:rPr>
          <w:spacing w:val="-9"/>
          <w:sz w:val="24"/>
        </w:rPr>
        <w:t> </w:t>
      </w:r>
      <w:r>
        <w:rPr>
          <w:sz w:val="24"/>
        </w:rPr>
        <w:t>Higashi</w:t>
      </w:r>
      <w:r>
        <w:rPr>
          <w:spacing w:val="-9"/>
          <w:sz w:val="24"/>
        </w:rPr>
        <w:t> </w:t>
      </w:r>
      <w:r>
        <w:rPr>
          <w:sz w:val="24"/>
        </w:rPr>
        <w:t>K.</w:t>
      </w:r>
      <w:r>
        <w:rPr>
          <w:spacing w:val="-11"/>
          <w:sz w:val="24"/>
        </w:rPr>
        <w:t> </w:t>
      </w:r>
      <w:r>
        <w:rPr>
          <w:sz w:val="24"/>
        </w:rPr>
        <w:t>J.</w:t>
      </w:r>
      <w:r>
        <w:rPr>
          <w:spacing w:val="-9"/>
          <w:sz w:val="24"/>
        </w:rPr>
        <w:t> </w:t>
      </w:r>
      <w:r>
        <w:rPr>
          <w:sz w:val="24"/>
        </w:rPr>
        <w:t>Mater.</w:t>
      </w:r>
      <w:r>
        <w:rPr>
          <w:spacing w:val="-11"/>
          <w:sz w:val="24"/>
        </w:rPr>
        <w:t> </w:t>
      </w:r>
      <w:r>
        <w:rPr>
          <w:sz w:val="24"/>
        </w:rPr>
        <w:t>Sci.</w:t>
      </w:r>
      <w:r>
        <w:rPr>
          <w:spacing w:val="-9"/>
          <w:sz w:val="24"/>
        </w:rPr>
        <w:t> </w:t>
      </w:r>
      <w:r>
        <w:rPr>
          <w:sz w:val="24"/>
        </w:rPr>
        <w:t>Lett.</w:t>
      </w:r>
      <w:r>
        <w:rPr>
          <w:spacing w:val="-10"/>
          <w:sz w:val="24"/>
        </w:rPr>
        <w:t> </w:t>
      </w:r>
      <w:r>
        <w:rPr>
          <w:sz w:val="24"/>
        </w:rPr>
        <w:t>18, 1477</w:t>
      </w:r>
      <w:r>
        <w:rPr>
          <w:spacing w:val="-3"/>
          <w:sz w:val="24"/>
        </w:rPr>
        <w:t> </w:t>
      </w:r>
      <w:r>
        <w:rPr>
          <w:sz w:val="24"/>
        </w:rPr>
        <w:t>(1999).</w:t>
      </w:r>
    </w:p>
    <w:p>
      <w:pPr>
        <w:spacing w:after="0" w:line="360" w:lineRule="auto"/>
        <w:jc w:val="both"/>
        <w:rPr>
          <w:sz w:val="24"/>
        </w:rPr>
        <w:sectPr>
          <w:pgSz w:w="12240" w:h="15840"/>
          <w:pgMar w:header="0" w:footer="1839" w:top="1400" w:bottom="2020" w:left="1520" w:right="940"/>
        </w:sectPr>
      </w:pPr>
    </w:p>
    <w:p>
      <w:pPr>
        <w:pStyle w:val="BodyText"/>
        <w:spacing w:before="3"/>
        <w:rPr>
          <w:sz w:val="16"/>
        </w:rPr>
      </w:pPr>
    </w:p>
    <w:p>
      <w:pPr>
        <w:pStyle w:val="ListParagraph"/>
        <w:numPr>
          <w:ilvl w:val="2"/>
          <w:numId w:val="20"/>
        </w:numPr>
        <w:tabs>
          <w:tab w:pos="1296" w:val="left" w:leader="none"/>
        </w:tabs>
        <w:spacing w:line="360" w:lineRule="auto" w:before="92" w:after="0"/>
        <w:ind w:left="1295" w:right="1118" w:hanging="360"/>
        <w:jc w:val="both"/>
        <w:rPr>
          <w:sz w:val="24"/>
        </w:rPr>
      </w:pPr>
      <w:r>
        <w:rPr>
          <w:sz w:val="24"/>
        </w:rPr>
        <w:t>Kaufman JG and Rooy EL: Aluminum Alloy Castings: Properties, Processes, and Applications. (ASM International, Materials Park, OH, 2004), pp.</w:t>
      </w:r>
      <w:r>
        <w:rPr>
          <w:spacing w:val="-5"/>
          <w:sz w:val="24"/>
        </w:rPr>
        <w:t> </w:t>
      </w:r>
      <w:r>
        <w:rPr>
          <w:sz w:val="24"/>
        </w:rPr>
        <w:t>81-82.</w:t>
      </w:r>
    </w:p>
    <w:p>
      <w:pPr>
        <w:pStyle w:val="BodyText"/>
        <w:rPr>
          <w:sz w:val="26"/>
        </w:rPr>
      </w:pPr>
    </w:p>
    <w:p>
      <w:pPr>
        <w:pStyle w:val="BodyText"/>
        <w:spacing w:before="7"/>
        <w:rPr>
          <w:sz w:val="25"/>
        </w:rPr>
      </w:pPr>
    </w:p>
    <w:p>
      <w:pPr>
        <w:pStyle w:val="ListParagraph"/>
        <w:numPr>
          <w:ilvl w:val="2"/>
          <w:numId w:val="20"/>
        </w:numPr>
        <w:tabs>
          <w:tab w:pos="1296" w:val="left" w:leader="none"/>
          <w:tab w:pos="2697" w:val="left" w:leader="none"/>
          <w:tab w:pos="3825" w:val="left" w:leader="none"/>
          <w:tab w:pos="5318" w:val="left" w:leader="none"/>
          <w:tab w:pos="6886" w:val="left" w:leader="none"/>
          <w:tab w:pos="8626" w:val="left" w:leader="none"/>
        </w:tabs>
        <w:spacing w:line="360" w:lineRule="auto" w:before="1" w:after="0"/>
        <w:ind w:left="1295" w:right="881" w:hanging="360"/>
        <w:jc w:val="both"/>
        <w:rPr>
          <w:sz w:val="24"/>
        </w:rPr>
      </w:pPr>
      <w:r>
        <w:rPr>
          <w:sz w:val="24"/>
        </w:rPr>
        <w:t>Kaufman JG: Magnesium Alloy Database (Knovel, Norwich, NY, 2011) Table</w:t>
        <w:tab/>
        <w:t>2b,</w:t>
        <w:tab/>
        <w:t>Online</w:t>
        <w:tab/>
        <w:t>version</w:t>
        <w:tab/>
        <w:t>available</w:t>
        <w:tab/>
      </w:r>
      <w:r>
        <w:rPr>
          <w:spacing w:val="-5"/>
          <w:sz w:val="24"/>
        </w:rPr>
        <w:t>at:</w:t>
      </w:r>
      <w:hyperlink r:id="rId22">
        <w:r>
          <w:rPr>
            <w:spacing w:val="-5"/>
            <w:sz w:val="24"/>
            <w:u w:val="single" w:color="0000FF"/>
          </w:rPr>
          <w:t> </w:t>
        </w:r>
        <w:r>
          <w:rPr>
            <w:spacing w:val="-1"/>
            <w:sz w:val="24"/>
            <w:u w:val="single" w:color="0000FF"/>
          </w:rPr>
          <w:t>http://www.knovel.com/web/portal/browse/display?_EXT_KNOVEL_DIS</w:t>
        </w:r>
      </w:hyperlink>
      <w:hyperlink r:id="rId22">
        <w:r>
          <w:rPr>
            <w:spacing w:val="-1"/>
            <w:sz w:val="24"/>
            <w:u w:val="single" w:color="0000FF"/>
          </w:rPr>
          <w:t> </w:t>
        </w:r>
        <w:r>
          <w:rPr>
            <w:sz w:val="24"/>
            <w:u w:val="single" w:color="0000FF"/>
          </w:rPr>
          <w:t>PLAY_bookid=4259&amp;VerticalID=0</w:t>
        </w:r>
      </w:hyperlink>
    </w:p>
    <w:p>
      <w:pPr>
        <w:pStyle w:val="BodyText"/>
        <w:rPr>
          <w:sz w:val="20"/>
        </w:rPr>
      </w:pPr>
    </w:p>
    <w:p>
      <w:pPr>
        <w:pStyle w:val="BodyText"/>
        <w:rPr>
          <w:sz w:val="20"/>
        </w:rPr>
      </w:pPr>
    </w:p>
    <w:p>
      <w:pPr>
        <w:pStyle w:val="BodyText"/>
        <w:spacing w:before="1"/>
        <w:rPr>
          <w:sz w:val="21"/>
        </w:rPr>
      </w:pPr>
    </w:p>
    <w:p>
      <w:pPr>
        <w:pStyle w:val="ListParagraph"/>
        <w:numPr>
          <w:ilvl w:val="2"/>
          <w:numId w:val="20"/>
        </w:numPr>
        <w:tabs>
          <w:tab w:pos="1296" w:val="left" w:leader="none"/>
        </w:tabs>
        <w:spacing w:line="633" w:lineRule="auto" w:before="131" w:after="0"/>
        <w:ind w:left="1295" w:right="1442" w:hanging="360"/>
        <w:jc w:val="left"/>
        <w:rPr>
          <w:sz w:val="24"/>
        </w:rPr>
      </w:pPr>
      <w:r>
        <w:rPr>
          <w:sz w:val="24"/>
        </w:rPr>
        <w:t>Chawla</w:t>
      </w:r>
      <w:r>
        <w:rPr>
          <w:spacing w:val="-5"/>
          <w:sz w:val="24"/>
        </w:rPr>
        <w:t> </w:t>
      </w:r>
      <w:r>
        <w:rPr>
          <w:sz w:val="24"/>
        </w:rPr>
        <w:t>K.</w:t>
      </w:r>
      <w:r>
        <w:rPr>
          <w:spacing w:val="-5"/>
          <w:sz w:val="24"/>
        </w:rPr>
        <w:t> </w:t>
      </w:r>
      <w:r>
        <w:rPr>
          <w:sz w:val="24"/>
        </w:rPr>
        <w:t>Composite</w:t>
      </w:r>
      <w:r>
        <w:rPr>
          <w:spacing w:val="-10"/>
          <w:sz w:val="24"/>
        </w:rPr>
        <w:t> </w:t>
      </w:r>
      <w:r>
        <w:rPr>
          <w:sz w:val="24"/>
        </w:rPr>
        <w:t>Materials:</w:t>
      </w:r>
      <w:r>
        <w:rPr>
          <w:spacing w:val="-5"/>
          <w:sz w:val="24"/>
        </w:rPr>
        <w:t> </w:t>
      </w:r>
      <w:r>
        <w:rPr>
          <w:sz w:val="24"/>
        </w:rPr>
        <w:t>Science</w:t>
      </w:r>
      <w:r>
        <w:rPr>
          <w:spacing w:val="-6"/>
          <w:sz w:val="24"/>
        </w:rPr>
        <w:t> </w:t>
      </w:r>
      <w:r>
        <w:rPr>
          <w:sz w:val="24"/>
        </w:rPr>
        <w:t>and</w:t>
      </w:r>
      <w:r>
        <w:rPr>
          <w:spacing w:val="-9"/>
          <w:sz w:val="24"/>
        </w:rPr>
        <w:t> </w:t>
      </w:r>
      <w:r>
        <w:rPr>
          <w:sz w:val="24"/>
        </w:rPr>
        <w:t>Engineering,</w:t>
      </w:r>
      <w:r>
        <w:rPr>
          <w:spacing w:val="-3"/>
          <w:sz w:val="24"/>
        </w:rPr>
        <w:t> </w:t>
      </w:r>
      <w:r>
        <w:rPr>
          <w:spacing w:val="2"/>
          <w:sz w:val="24"/>
        </w:rPr>
        <w:t>3</w:t>
      </w:r>
      <w:r>
        <w:rPr>
          <w:spacing w:val="2"/>
          <w:sz w:val="24"/>
          <w:vertAlign w:val="superscript"/>
        </w:rPr>
        <w:t>rd</w:t>
      </w:r>
      <w:r>
        <w:rPr>
          <w:spacing w:val="-6"/>
          <w:sz w:val="24"/>
          <w:vertAlign w:val="baseline"/>
        </w:rPr>
        <w:t> </w:t>
      </w:r>
      <w:r>
        <w:rPr>
          <w:sz w:val="24"/>
          <w:vertAlign w:val="baseline"/>
        </w:rPr>
        <w:t>Ed., Springer.</w:t>
      </w:r>
    </w:p>
    <w:sectPr>
      <w:pgSz w:w="12240" w:h="15840"/>
      <w:pgMar w:header="0" w:footer="1839" w:top="1500" w:bottom="2060" w:left="152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1.890015pt;margin-top:687.536011pt;width:15.4pt;height:13.05pt;mso-position-horizontal-relative:page;mso-position-vertical-relative:page;z-index:-254223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929993pt;margin-top:716.335999pt;width:15.3pt;height:13.05pt;mso-position-horizontal-relative:page;mso-position-vertical-relative:page;z-index:-254222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809998pt;margin-top:687.536011pt;width:15.4pt;height:13.05pt;mso-position-horizontal-relative:page;mso-position-vertical-relative:page;z-index:-254221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98.410004pt;margin-top:687.536011pt;width:18.9pt;height:13.05pt;mso-position-horizontal-relative:page;mso-position-vertical-relative:page;z-index:-254220288" type="#_x0000_t202" filled="false" stroked="false">
          <v:textbox inset="0,0,0,0">
            <w:txbxContent>
              <w:p>
                <w:pPr>
                  <w:spacing w:line="245" w:lineRule="exact" w:before="0"/>
                  <w:ind w:left="42" w:right="0" w:firstLine="0"/>
                  <w:jc w:val="left"/>
                  <w:rPr>
                    <w:rFonts w:ascii="Calibri"/>
                    <w:sz w:val="22"/>
                  </w:rPr>
                </w:pPr>
                <w:r>
                  <w:rPr/>
                  <w:fldChar w:fldCharType="begin"/>
                </w:r>
                <w:r>
                  <w:rPr>
                    <w:rFonts w:ascii="Calibri"/>
                    <w:sz w:val="22"/>
                  </w:rPr>
                  <w:instrText> PAGE </w:instrText>
                </w:r>
                <w:r>
                  <w:rPr/>
                  <w:fldChar w:fldCharType="separate"/>
                </w:r>
                <w:r>
                  <w:rPr/>
                  <w:t>47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0"/>
      <w:numFmt w:val="decimal"/>
      <w:lvlText w:val="%1"/>
      <w:lvlJc w:val="left"/>
      <w:pPr>
        <w:ind w:left="1206" w:hanging="675"/>
        <w:jc w:val="left"/>
      </w:pPr>
      <w:rPr>
        <w:rFonts w:hint="default"/>
        <w:lang w:val="es-ES" w:eastAsia="es-ES" w:bidi="es-ES"/>
      </w:rPr>
    </w:lvl>
    <w:lvl w:ilvl="1">
      <w:start w:val="1"/>
      <w:numFmt w:val="decimal"/>
      <w:lvlText w:val="%1.%2"/>
      <w:lvlJc w:val="left"/>
      <w:pPr>
        <w:ind w:left="1206" w:hanging="675"/>
        <w:jc w:val="right"/>
      </w:pPr>
      <w:rPr>
        <w:rFonts w:hint="default" w:ascii="Arial" w:hAnsi="Arial" w:eastAsia="Arial" w:cs="Arial"/>
        <w:spacing w:val="-8"/>
        <w:w w:val="99"/>
        <w:sz w:val="24"/>
        <w:szCs w:val="24"/>
        <w:lang w:val="es-ES" w:eastAsia="es-ES" w:bidi="es-ES"/>
      </w:rPr>
    </w:lvl>
    <w:lvl w:ilvl="2">
      <w:start w:val="1"/>
      <w:numFmt w:val="decimal"/>
      <w:lvlText w:val="%3."/>
      <w:lvlJc w:val="left"/>
      <w:pPr>
        <w:ind w:left="1295" w:hanging="360"/>
        <w:jc w:val="left"/>
      </w:pPr>
      <w:rPr>
        <w:rFonts w:hint="default" w:ascii="Arial" w:hAnsi="Arial" w:eastAsia="Arial" w:cs="Arial"/>
        <w:spacing w:val="-14"/>
        <w:w w:val="99"/>
        <w:sz w:val="24"/>
        <w:szCs w:val="24"/>
        <w:lang w:val="es-ES" w:eastAsia="es-ES" w:bidi="es-ES"/>
      </w:rPr>
    </w:lvl>
    <w:lvl w:ilvl="3">
      <w:start w:val="0"/>
      <w:numFmt w:val="bullet"/>
      <w:lvlText w:val="•"/>
      <w:lvlJc w:val="left"/>
      <w:pPr>
        <w:ind w:left="3184" w:hanging="360"/>
      </w:pPr>
      <w:rPr>
        <w:rFonts w:hint="default"/>
        <w:lang w:val="es-ES" w:eastAsia="es-ES" w:bidi="es-ES"/>
      </w:rPr>
    </w:lvl>
    <w:lvl w:ilvl="4">
      <w:start w:val="0"/>
      <w:numFmt w:val="bullet"/>
      <w:lvlText w:val="•"/>
      <w:lvlJc w:val="left"/>
      <w:pPr>
        <w:ind w:left="4126" w:hanging="360"/>
      </w:pPr>
      <w:rPr>
        <w:rFonts w:hint="default"/>
        <w:lang w:val="es-ES" w:eastAsia="es-ES" w:bidi="es-ES"/>
      </w:rPr>
    </w:lvl>
    <w:lvl w:ilvl="5">
      <w:start w:val="0"/>
      <w:numFmt w:val="bullet"/>
      <w:lvlText w:val="•"/>
      <w:lvlJc w:val="left"/>
      <w:pPr>
        <w:ind w:left="5068" w:hanging="360"/>
      </w:pPr>
      <w:rPr>
        <w:rFonts w:hint="default"/>
        <w:lang w:val="es-ES" w:eastAsia="es-ES" w:bidi="es-ES"/>
      </w:rPr>
    </w:lvl>
    <w:lvl w:ilvl="6">
      <w:start w:val="0"/>
      <w:numFmt w:val="bullet"/>
      <w:lvlText w:val="•"/>
      <w:lvlJc w:val="left"/>
      <w:pPr>
        <w:ind w:left="6011" w:hanging="360"/>
      </w:pPr>
      <w:rPr>
        <w:rFonts w:hint="default"/>
        <w:lang w:val="es-ES" w:eastAsia="es-ES" w:bidi="es-ES"/>
      </w:rPr>
    </w:lvl>
    <w:lvl w:ilvl="7">
      <w:start w:val="0"/>
      <w:numFmt w:val="bullet"/>
      <w:lvlText w:val="•"/>
      <w:lvlJc w:val="left"/>
      <w:pPr>
        <w:ind w:left="6953" w:hanging="360"/>
      </w:pPr>
      <w:rPr>
        <w:rFonts w:hint="default"/>
        <w:lang w:val="es-ES" w:eastAsia="es-ES" w:bidi="es-ES"/>
      </w:rPr>
    </w:lvl>
    <w:lvl w:ilvl="8">
      <w:start w:val="0"/>
      <w:numFmt w:val="bullet"/>
      <w:lvlText w:val="•"/>
      <w:lvlJc w:val="left"/>
      <w:pPr>
        <w:ind w:left="7895" w:hanging="360"/>
      </w:pPr>
      <w:rPr>
        <w:rFonts w:hint="default"/>
        <w:lang w:val="es-ES" w:eastAsia="es-ES" w:bidi="es-ES"/>
      </w:rPr>
    </w:lvl>
  </w:abstractNum>
  <w:abstractNum w:abstractNumId="18">
    <w:multiLevelType w:val="hybridMultilevel"/>
    <w:lvl w:ilvl="0">
      <w:start w:val="1"/>
      <w:numFmt w:val="lowerLetter"/>
      <w:lvlText w:val="%1)"/>
      <w:lvlJc w:val="left"/>
      <w:pPr>
        <w:ind w:left="885" w:hanging="212"/>
        <w:jc w:val="left"/>
      </w:pPr>
      <w:rPr>
        <w:rFonts w:hint="default" w:ascii="Arial" w:hAnsi="Arial" w:eastAsia="Arial" w:cs="Arial"/>
        <w:b/>
        <w:bCs/>
        <w:w w:val="99"/>
        <w:sz w:val="18"/>
        <w:szCs w:val="18"/>
        <w:lang w:val="es-ES" w:eastAsia="es-ES" w:bidi="es-ES"/>
      </w:rPr>
    </w:lvl>
    <w:lvl w:ilvl="1">
      <w:start w:val="0"/>
      <w:numFmt w:val="bullet"/>
      <w:lvlText w:val=""/>
      <w:lvlJc w:val="left"/>
      <w:pPr>
        <w:ind w:left="1295" w:hanging="360"/>
      </w:pPr>
      <w:rPr>
        <w:rFonts w:hint="default" w:ascii="Symbol" w:hAnsi="Symbol" w:eastAsia="Symbol" w:cs="Symbol"/>
        <w:w w:val="100"/>
        <w:sz w:val="24"/>
        <w:szCs w:val="24"/>
        <w:lang w:val="es-ES" w:eastAsia="es-ES" w:bidi="es-ES"/>
      </w:rPr>
    </w:lvl>
    <w:lvl w:ilvl="2">
      <w:start w:val="0"/>
      <w:numFmt w:val="bullet"/>
      <w:lvlText w:val="•"/>
      <w:lvlJc w:val="left"/>
      <w:pPr>
        <w:ind w:left="2242" w:hanging="360"/>
      </w:pPr>
      <w:rPr>
        <w:rFonts w:hint="default"/>
        <w:lang w:val="es-ES" w:eastAsia="es-ES" w:bidi="es-ES"/>
      </w:rPr>
    </w:lvl>
    <w:lvl w:ilvl="3">
      <w:start w:val="0"/>
      <w:numFmt w:val="bullet"/>
      <w:lvlText w:val="•"/>
      <w:lvlJc w:val="left"/>
      <w:pPr>
        <w:ind w:left="3184" w:hanging="360"/>
      </w:pPr>
      <w:rPr>
        <w:rFonts w:hint="default"/>
        <w:lang w:val="es-ES" w:eastAsia="es-ES" w:bidi="es-ES"/>
      </w:rPr>
    </w:lvl>
    <w:lvl w:ilvl="4">
      <w:start w:val="0"/>
      <w:numFmt w:val="bullet"/>
      <w:lvlText w:val="•"/>
      <w:lvlJc w:val="left"/>
      <w:pPr>
        <w:ind w:left="4126" w:hanging="360"/>
      </w:pPr>
      <w:rPr>
        <w:rFonts w:hint="default"/>
        <w:lang w:val="es-ES" w:eastAsia="es-ES" w:bidi="es-ES"/>
      </w:rPr>
    </w:lvl>
    <w:lvl w:ilvl="5">
      <w:start w:val="0"/>
      <w:numFmt w:val="bullet"/>
      <w:lvlText w:val="•"/>
      <w:lvlJc w:val="left"/>
      <w:pPr>
        <w:ind w:left="5068" w:hanging="360"/>
      </w:pPr>
      <w:rPr>
        <w:rFonts w:hint="default"/>
        <w:lang w:val="es-ES" w:eastAsia="es-ES" w:bidi="es-ES"/>
      </w:rPr>
    </w:lvl>
    <w:lvl w:ilvl="6">
      <w:start w:val="0"/>
      <w:numFmt w:val="bullet"/>
      <w:lvlText w:val="•"/>
      <w:lvlJc w:val="left"/>
      <w:pPr>
        <w:ind w:left="6011" w:hanging="360"/>
      </w:pPr>
      <w:rPr>
        <w:rFonts w:hint="default"/>
        <w:lang w:val="es-ES" w:eastAsia="es-ES" w:bidi="es-ES"/>
      </w:rPr>
    </w:lvl>
    <w:lvl w:ilvl="7">
      <w:start w:val="0"/>
      <w:numFmt w:val="bullet"/>
      <w:lvlText w:val="•"/>
      <w:lvlJc w:val="left"/>
      <w:pPr>
        <w:ind w:left="6953" w:hanging="360"/>
      </w:pPr>
      <w:rPr>
        <w:rFonts w:hint="default"/>
        <w:lang w:val="es-ES" w:eastAsia="es-ES" w:bidi="es-ES"/>
      </w:rPr>
    </w:lvl>
    <w:lvl w:ilvl="8">
      <w:start w:val="0"/>
      <w:numFmt w:val="bullet"/>
      <w:lvlText w:val="•"/>
      <w:lvlJc w:val="left"/>
      <w:pPr>
        <w:ind w:left="7895" w:hanging="360"/>
      </w:pPr>
      <w:rPr>
        <w:rFonts w:hint="default"/>
        <w:lang w:val="es-ES" w:eastAsia="es-ES" w:bidi="es-ES"/>
      </w:rPr>
    </w:lvl>
  </w:abstractNum>
  <w:abstractNum w:abstractNumId="17">
    <w:multiLevelType w:val="hybridMultilevel"/>
    <w:lvl w:ilvl="0">
      <w:start w:val="0"/>
      <w:numFmt w:val="bullet"/>
      <w:lvlText w:val="•"/>
      <w:lvlJc w:val="left"/>
      <w:pPr>
        <w:ind w:left="674" w:hanging="152"/>
      </w:pPr>
      <w:rPr>
        <w:rFonts w:hint="default" w:ascii="Arial" w:hAnsi="Arial" w:eastAsia="Arial" w:cs="Arial"/>
        <w:spacing w:val="-6"/>
        <w:w w:val="99"/>
        <w:sz w:val="24"/>
        <w:szCs w:val="24"/>
        <w:lang w:val="es-ES" w:eastAsia="es-ES" w:bidi="es-ES"/>
      </w:rPr>
    </w:lvl>
    <w:lvl w:ilvl="1">
      <w:start w:val="0"/>
      <w:numFmt w:val="bullet"/>
      <w:lvlText w:val="•"/>
      <w:lvlJc w:val="left"/>
      <w:pPr>
        <w:ind w:left="1590" w:hanging="152"/>
      </w:pPr>
      <w:rPr>
        <w:rFonts w:hint="default"/>
        <w:lang w:val="es-ES" w:eastAsia="es-ES" w:bidi="es-ES"/>
      </w:rPr>
    </w:lvl>
    <w:lvl w:ilvl="2">
      <w:start w:val="0"/>
      <w:numFmt w:val="bullet"/>
      <w:lvlText w:val="•"/>
      <w:lvlJc w:val="left"/>
      <w:pPr>
        <w:ind w:left="2500" w:hanging="152"/>
      </w:pPr>
      <w:rPr>
        <w:rFonts w:hint="default"/>
        <w:lang w:val="es-ES" w:eastAsia="es-ES" w:bidi="es-ES"/>
      </w:rPr>
    </w:lvl>
    <w:lvl w:ilvl="3">
      <w:start w:val="0"/>
      <w:numFmt w:val="bullet"/>
      <w:lvlText w:val="•"/>
      <w:lvlJc w:val="left"/>
      <w:pPr>
        <w:ind w:left="3410" w:hanging="152"/>
      </w:pPr>
      <w:rPr>
        <w:rFonts w:hint="default"/>
        <w:lang w:val="es-ES" w:eastAsia="es-ES" w:bidi="es-ES"/>
      </w:rPr>
    </w:lvl>
    <w:lvl w:ilvl="4">
      <w:start w:val="0"/>
      <w:numFmt w:val="bullet"/>
      <w:lvlText w:val="•"/>
      <w:lvlJc w:val="left"/>
      <w:pPr>
        <w:ind w:left="4320" w:hanging="152"/>
      </w:pPr>
      <w:rPr>
        <w:rFonts w:hint="default"/>
        <w:lang w:val="es-ES" w:eastAsia="es-ES" w:bidi="es-ES"/>
      </w:rPr>
    </w:lvl>
    <w:lvl w:ilvl="5">
      <w:start w:val="0"/>
      <w:numFmt w:val="bullet"/>
      <w:lvlText w:val="•"/>
      <w:lvlJc w:val="left"/>
      <w:pPr>
        <w:ind w:left="5230" w:hanging="152"/>
      </w:pPr>
      <w:rPr>
        <w:rFonts w:hint="default"/>
        <w:lang w:val="es-ES" w:eastAsia="es-ES" w:bidi="es-ES"/>
      </w:rPr>
    </w:lvl>
    <w:lvl w:ilvl="6">
      <w:start w:val="0"/>
      <w:numFmt w:val="bullet"/>
      <w:lvlText w:val="•"/>
      <w:lvlJc w:val="left"/>
      <w:pPr>
        <w:ind w:left="6140" w:hanging="152"/>
      </w:pPr>
      <w:rPr>
        <w:rFonts w:hint="default"/>
        <w:lang w:val="es-ES" w:eastAsia="es-ES" w:bidi="es-ES"/>
      </w:rPr>
    </w:lvl>
    <w:lvl w:ilvl="7">
      <w:start w:val="0"/>
      <w:numFmt w:val="bullet"/>
      <w:lvlText w:val="•"/>
      <w:lvlJc w:val="left"/>
      <w:pPr>
        <w:ind w:left="7050" w:hanging="152"/>
      </w:pPr>
      <w:rPr>
        <w:rFonts w:hint="default"/>
        <w:lang w:val="es-ES" w:eastAsia="es-ES" w:bidi="es-ES"/>
      </w:rPr>
    </w:lvl>
    <w:lvl w:ilvl="8">
      <w:start w:val="0"/>
      <w:numFmt w:val="bullet"/>
      <w:lvlText w:val="•"/>
      <w:lvlJc w:val="left"/>
      <w:pPr>
        <w:ind w:left="7960" w:hanging="152"/>
      </w:pPr>
      <w:rPr>
        <w:rFonts w:hint="default"/>
        <w:lang w:val="es-ES" w:eastAsia="es-ES" w:bidi="es-ES"/>
      </w:rPr>
    </w:lvl>
  </w:abstractNum>
  <w:abstractNum w:abstractNumId="16">
    <w:multiLevelType w:val="hybridMultilevel"/>
    <w:lvl w:ilvl="0">
      <w:start w:val="9"/>
      <w:numFmt w:val="decimal"/>
      <w:lvlText w:val="%1"/>
      <w:lvlJc w:val="left"/>
      <w:pPr>
        <w:ind w:left="1485" w:hanging="406"/>
        <w:jc w:val="left"/>
      </w:pPr>
      <w:rPr>
        <w:rFonts w:hint="default"/>
        <w:lang w:val="es-ES" w:eastAsia="es-ES" w:bidi="es-ES"/>
      </w:rPr>
    </w:lvl>
    <w:lvl w:ilvl="1">
      <w:start w:val="1"/>
      <w:numFmt w:val="decimal"/>
      <w:lvlText w:val="%1.%2"/>
      <w:lvlJc w:val="left"/>
      <w:pPr>
        <w:ind w:left="1485" w:hanging="406"/>
        <w:jc w:val="left"/>
      </w:pPr>
      <w:rPr>
        <w:rFonts w:hint="default" w:ascii="Arial" w:hAnsi="Arial" w:eastAsia="Arial" w:cs="Arial"/>
        <w:b/>
        <w:bCs/>
        <w:w w:val="99"/>
        <w:sz w:val="24"/>
        <w:szCs w:val="24"/>
        <w:lang w:val="es-ES" w:eastAsia="es-ES" w:bidi="es-ES"/>
      </w:rPr>
    </w:lvl>
    <w:lvl w:ilvl="2">
      <w:start w:val="0"/>
      <w:numFmt w:val="bullet"/>
      <w:lvlText w:val="•"/>
      <w:lvlJc w:val="left"/>
      <w:pPr>
        <w:ind w:left="3140" w:hanging="406"/>
      </w:pPr>
      <w:rPr>
        <w:rFonts w:hint="default"/>
        <w:lang w:val="es-ES" w:eastAsia="es-ES" w:bidi="es-ES"/>
      </w:rPr>
    </w:lvl>
    <w:lvl w:ilvl="3">
      <w:start w:val="0"/>
      <w:numFmt w:val="bullet"/>
      <w:lvlText w:val="•"/>
      <w:lvlJc w:val="left"/>
      <w:pPr>
        <w:ind w:left="3970" w:hanging="406"/>
      </w:pPr>
      <w:rPr>
        <w:rFonts w:hint="default"/>
        <w:lang w:val="es-ES" w:eastAsia="es-ES" w:bidi="es-ES"/>
      </w:rPr>
    </w:lvl>
    <w:lvl w:ilvl="4">
      <w:start w:val="0"/>
      <w:numFmt w:val="bullet"/>
      <w:lvlText w:val="•"/>
      <w:lvlJc w:val="left"/>
      <w:pPr>
        <w:ind w:left="4800" w:hanging="406"/>
      </w:pPr>
      <w:rPr>
        <w:rFonts w:hint="default"/>
        <w:lang w:val="es-ES" w:eastAsia="es-ES" w:bidi="es-ES"/>
      </w:rPr>
    </w:lvl>
    <w:lvl w:ilvl="5">
      <w:start w:val="0"/>
      <w:numFmt w:val="bullet"/>
      <w:lvlText w:val="•"/>
      <w:lvlJc w:val="left"/>
      <w:pPr>
        <w:ind w:left="5630" w:hanging="406"/>
      </w:pPr>
      <w:rPr>
        <w:rFonts w:hint="default"/>
        <w:lang w:val="es-ES" w:eastAsia="es-ES" w:bidi="es-ES"/>
      </w:rPr>
    </w:lvl>
    <w:lvl w:ilvl="6">
      <w:start w:val="0"/>
      <w:numFmt w:val="bullet"/>
      <w:lvlText w:val="•"/>
      <w:lvlJc w:val="left"/>
      <w:pPr>
        <w:ind w:left="6460" w:hanging="406"/>
      </w:pPr>
      <w:rPr>
        <w:rFonts w:hint="default"/>
        <w:lang w:val="es-ES" w:eastAsia="es-ES" w:bidi="es-ES"/>
      </w:rPr>
    </w:lvl>
    <w:lvl w:ilvl="7">
      <w:start w:val="0"/>
      <w:numFmt w:val="bullet"/>
      <w:lvlText w:val="•"/>
      <w:lvlJc w:val="left"/>
      <w:pPr>
        <w:ind w:left="7290" w:hanging="406"/>
      </w:pPr>
      <w:rPr>
        <w:rFonts w:hint="default"/>
        <w:lang w:val="es-ES" w:eastAsia="es-ES" w:bidi="es-ES"/>
      </w:rPr>
    </w:lvl>
    <w:lvl w:ilvl="8">
      <w:start w:val="0"/>
      <w:numFmt w:val="bullet"/>
      <w:lvlText w:val="•"/>
      <w:lvlJc w:val="left"/>
      <w:pPr>
        <w:ind w:left="8120" w:hanging="406"/>
      </w:pPr>
      <w:rPr>
        <w:rFonts w:hint="default"/>
        <w:lang w:val="es-ES" w:eastAsia="es-ES" w:bidi="es-ES"/>
      </w:rPr>
    </w:lvl>
  </w:abstractNum>
  <w:abstractNum w:abstractNumId="15">
    <w:multiLevelType w:val="hybridMultilevel"/>
    <w:lvl w:ilvl="0">
      <w:start w:val="1"/>
      <w:numFmt w:val="decimal"/>
      <w:lvlText w:val="%1."/>
      <w:lvlJc w:val="left"/>
      <w:pPr>
        <w:ind w:left="1475" w:hanging="360"/>
        <w:jc w:val="left"/>
      </w:pPr>
      <w:rPr>
        <w:rFonts w:hint="default" w:ascii="Arial" w:hAnsi="Arial" w:eastAsia="Arial" w:cs="Arial"/>
        <w:spacing w:val="-8"/>
        <w:w w:val="99"/>
        <w:sz w:val="24"/>
        <w:szCs w:val="24"/>
        <w:lang w:val="es-ES" w:eastAsia="es-ES" w:bidi="es-ES"/>
      </w:rPr>
    </w:lvl>
    <w:lvl w:ilvl="1">
      <w:start w:val="0"/>
      <w:numFmt w:val="bullet"/>
      <w:lvlText w:val="•"/>
      <w:lvlJc w:val="left"/>
      <w:pPr>
        <w:ind w:left="2310" w:hanging="360"/>
      </w:pPr>
      <w:rPr>
        <w:rFonts w:hint="default"/>
        <w:lang w:val="es-ES" w:eastAsia="es-ES" w:bidi="es-ES"/>
      </w:rPr>
    </w:lvl>
    <w:lvl w:ilvl="2">
      <w:start w:val="0"/>
      <w:numFmt w:val="bullet"/>
      <w:lvlText w:val="•"/>
      <w:lvlJc w:val="left"/>
      <w:pPr>
        <w:ind w:left="3140" w:hanging="360"/>
      </w:pPr>
      <w:rPr>
        <w:rFonts w:hint="default"/>
        <w:lang w:val="es-ES" w:eastAsia="es-ES" w:bidi="es-ES"/>
      </w:rPr>
    </w:lvl>
    <w:lvl w:ilvl="3">
      <w:start w:val="0"/>
      <w:numFmt w:val="bullet"/>
      <w:lvlText w:val="•"/>
      <w:lvlJc w:val="left"/>
      <w:pPr>
        <w:ind w:left="3970" w:hanging="360"/>
      </w:pPr>
      <w:rPr>
        <w:rFonts w:hint="default"/>
        <w:lang w:val="es-ES" w:eastAsia="es-ES" w:bidi="es-ES"/>
      </w:rPr>
    </w:lvl>
    <w:lvl w:ilvl="4">
      <w:start w:val="0"/>
      <w:numFmt w:val="bullet"/>
      <w:lvlText w:val="•"/>
      <w:lvlJc w:val="left"/>
      <w:pPr>
        <w:ind w:left="4800" w:hanging="360"/>
      </w:pPr>
      <w:rPr>
        <w:rFonts w:hint="default"/>
        <w:lang w:val="es-ES" w:eastAsia="es-ES" w:bidi="es-ES"/>
      </w:rPr>
    </w:lvl>
    <w:lvl w:ilvl="5">
      <w:start w:val="0"/>
      <w:numFmt w:val="bullet"/>
      <w:lvlText w:val="•"/>
      <w:lvlJc w:val="left"/>
      <w:pPr>
        <w:ind w:left="5630" w:hanging="360"/>
      </w:pPr>
      <w:rPr>
        <w:rFonts w:hint="default"/>
        <w:lang w:val="es-ES" w:eastAsia="es-ES" w:bidi="es-ES"/>
      </w:rPr>
    </w:lvl>
    <w:lvl w:ilvl="6">
      <w:start w:val="0"/>
      <w:numFmt w:val="bullet"/>
      <w:lvlText w:val="•"/>
      <w:lvlJc w:val="left"/>
      <w:pPr>
        <w:ind w:left="6460" w:hanging="360"/>
      </w:pPr>
      <w:rPr>
        <w:rFonts w:hint="default"/>
        <w:lang w:val="es-ES" w:eastAsia="es-ES" w:bidi="es-ES"/>
      </w:rPr>
    </w:lvl>
    <w:lvl w:ilvl="7">
      <w:start w:val="0"/>
      <w:numFmt w:val="bullet"/>
      <w:lvlText w:val="•"/>
      <w:lvlJc w:val="left"/>
      <w:pPr>
        <w:ind w:left="7290" w:hanging="360"/>
      </w:pPr>
      <w:rPr>
        <w:rFonts w:hint="default"/>
        <w:lang w:val="es-ES" w:eastAsia="es-ES" w:bidi="es-ES"/>
      </w:rPr>
    </w:lvl>
    <w:lvl w:ilvl="8">
      <w:start w:val="0"/>
      <w:numFmt w:val="bullet"/>
      <w:lvlText w:val="•"/>
      <w:lvlJc w:val="left"/>
      <w:pPr>
        <w:ind w:left="8120" w:hanging="360"/>
      </w:pPr>
      <w:rPr>
        <w:rFonts w:hint="default"/>
        <w:lang w:val="es-ES" w:eastAsia="es-ES" w:bidi="es-ES"/>
      </w:rPr>
    </w:lvl>
  </w:abstractNum>
  <w:abstractNum w:abstractNumId="14">
    <w:multiLevelType w:val="hybridMultilevel"/>
    <w:lvl w:ilvl="0">
      <w:start w:val="1"/>
      <w:numFmt w:val="decimal"/>
      <w:lvlText w:val="%1."/>
      <w:lvlJc w:val="left"/>
      <w:pPr>
        <w:ind w:left="1475" w:hanging="360"/>
        <w:jc w:val="left"/>
      </w:pPr>
      <w:rPr>
        <w:rFonts w:hint="default" w:ascii="Arial" w:hAnsi="Arial" w:eastAsia="Arial" w:cs="Arial"/>
        <w:spacing w:val="-8"/>
        <w:w w:val="99"/>
        <w:sz w:val="24"/>
        <w:szCs w:val="24"/>
        <w:lang w:val="es-ES" w:eastAsia="es-ES" w:bidi="es-ES"/>
      </w:rPr>
    </w:lvl>
    <w:lvl w:ilvl="1">
      <w:start w:val="0"/>
      <w:numFmt w:val="bullet"/>
      <w:lvlText w:val="•"/>
      <w:lvlJc w:val="left"/>
      <w:pPr>
        <w:ind w:left="2310" w:hanging="360"/>
      </w:pPr>
      <w:rPr>
        <w:rFonts w:hint="default"/>
        <w:lang w:val="es-ES" w:eastAsia="es-ES" w:bidi="es-ES"/>
      </w:rPr>
    </w:lvl>
    <w:lvl w:ilvl="2">
      <w:start w:val="0"/>
      <w:numFmt w:val="bullet"/>
      <w:lvlText w:val="•"/>
      <w:lvlJc w:val="left"/>
      <w:pPr>
        <w:ind w:left="3140" w:hanging="360"/>
      </w:pPr>
      <w:rPr>
        <w:rFonts w:hint="default"/>
        <w:lang w:val="es-ES" w:eastAsia="es-ES" w:bidi="es-ES"/>
      </w:rPr>
    </w:lvl>
    <w:lvl w:ilvl="3">
      <w:start w:val="0"/>
      <w:numFmt w:val="bullet"/>
      <w:lvlText w:val="•"/>
      <w:lvlJc w:val="left"/>
      <w:pPr>
        <w:ind w:left="3970" w:hanging="360"/>
      </w:pPr>
      <w:rPr>
        <w:rFonts w:hint="default"/>
        <w:lang w:val="es-ES" w:eastAsia="es-ES" w:bidi="es-ES"/>
      </w:rPr>
    </w:lvl>
    <w:lvl w:ilvl="4">
      <w:start w:val="0"/>
      <w:numFmt w:val="bullet"/>
      <w:lvlText w:val="•"/>
      <w:lvlJc w:val="left"/>
      <w:pPr>
        <w:ind w:left="4800" w:hanging="360"/>
      </w:pPr>
      <w:rPr>
        <w:rFonts w:hint="default"/>
        <w:lang w:val="es-ES" w:eastAsia="es-ES" w:bidi="es-ES"/>
      </w:rPr>
    </w:lvl>
    <w:lvl w:ilvl="5">
      <w:start w:val="0"/>
      <w:numFmt w:val="bullet"/>
      <w:lvlText w:val="•"/>
      <w:lvlJc w:val="left"/>
      <w:pPr>
        <w:ind w:left="5630" w:hanging="360"/>
      </w:pPr>
      <w:rPr>
        <w:rFonts w:hint="default"/>
        <w:lang w:val="es-ES" w:eastAsia="es-ES" w:bidi="es-ES"/>
      </w:rPr>
    </w:lvl>
    <w:lvl w:ilvl="6">
      <w:start w:val="0"/>
      <w:numFmt w:val="bullet"/>
      <w:lvlText w:val="•"/>
      <w:lvlJc w:val="left"/>
      <w:pPr>
        <w:ind w:left="6460" w:hanging="360"/>
      </w:pPr>
      <w:rPr>
        <w:rFonts w:hint="default"/>
        <w:lang w:val="es-ES" w:eastAsia="es-ES" w:bidi="es-ES"/>
      </w:rPr>
    </w:lvl>
    <w:lvl w:ilvl="7">
      <w:start w:val="0"/>
      <w:numFmt w:val="bullet"/>
      <w:lvlText w:val="•"/>
      <w:lvlJc w:val="left"/>
      <w:pPr>
        <w:ind w:left="7290" w:hanging="360"/>
      </w:pPr>
      <w:rPr>
        <w:rFonts w:hint="default"/>
        <w:lang w:val="es-ES" w:eastAsia="es-ES" w:bidi="es-ES"/>
      </w:rPr>
    </w:lvl>
    <w:lvl w:ilvl="8">
      <w:start w:val="0"/>
      <w:numFmt w:val="bullet"/>
      <w:lvlText w:val="•"/>
      <w:lvlJc w:val="left"/>
      <w:pPr>
        <w:ind w:left="8120" w:hanging="360"/>
      </w:pPr>
      <w:rPr>
        <w:rFonts w:hint="default"/>
        <w:lang w:val="es-ES" w:eastAsia="es-ES" w:bidi="es-ES"/>
      </w:rPr>
    </w:lvl>
  </w:abstractNum>
  <w:abstractNum w:abstractNumId="13">
    <w:multiLevelType w:val="hybridMultilevel"/>
    <w:lvl w:ilvl="0">
      <w:start w:val="4"/>
      <w:numFmt w:val="decimal"/>
      <w:lvlText w:val="%1"/>
      <w:lvlJc w:val="left"/>
      <w:pPr>
        <w:ind w:left="1835" w:hanging="428"/>
        <w:jc w:val="left"/>
      </w:pPr>
      <w:rPr>
        <w:rFonts w:hint="default"/>
        <w:lang w:val="es-ES" w:eastAsia="es-ES" w:bidi="es-ES"/>
      </w:rPr>
    </w:lvl>
    <w:lvl w:ilvl="1">
      <w:start w:val="1"/>
      <w:numFmt w:val="decimal"/>
      <w:lvlText w:val="%1.%2"/>
      <w:lvlJc w:val="left"/>
      <w:pPr>
        <w:ind w:left="1835" w:hanging="428"/>
        <w:jc w:val="left"/>
      </w:pPr>
      <w:rPr>
        <w:rFonts w:hint="default" w:ascii="Arial" w:hAnsi="Arial" w:eastAsia="Arial" w:cs="Arial"/>
        <w:w w:val="99"/>
        <w:sz w:val="24"/>
        <w:szCs w:val="24"/>
        <w:lang w:val="es-ES" w:eastAsia="es-ES" w:bidi="es-ES"/>
      </w:rPr>
    </w:lvl>
    <w:lvl w:ilvl="2">
      <w:start w:val="0"/>
      <w:numFmt w:val="bullet"/>
      <w:lvlText w:val="•"/>
      <w:lvlJc w:val="left"/>
      <w:pPr>
        <w:ind w:left="3428" w:hanging="428"/>
      </w:pPr>
      <w:rPr>
        <w:rFonts w:hint="default"/>
        <w:lang w:val="es-ES" w:eastAsia="es-ES" w:bidi="es-ES"/>
      </w:rPr>
    </w:lvl>
    <w:lvl w:ilvl="3">
      <w:start w:val="0"/>
      <w:numFmt w:val="bullet"/>
      <w:lvlText w:val="•"/>
      <w:lvlJc w:val="left"/>
      <w:pPr>
        <w:ind w:left="4222" w:hanging="428"/>
      </w:pPr>
      <w:rPr>
        <w:rFonts w:hint="default"/>
        <w:lang w:val="es-ES" w:eastAsia="es-ES" w:bidi="es-ES"/>
      </w:rPr>
    </w:lvl>
    <w:lvl w:ilvl="4">
      <w:start w:val="0"/>
      <w:numFmt w:val="bullet"/>
      <w:lvlText w:val="•"/>
      <w:lvlJc w:val="left"/>
      <w:pPr>
        <w:ind w:left="5016" w:hanging="428"/>
      </w:pPr>
      <w:rPr>
        <w:rFonts w:hint="default"/>
        <w:lang w:val="es-ES" w:eastAsia="es-ES" w:bidi="es-ES"/>
      </w:rPr>
    </w:lvl>
    <w:lvl w:ilvl="5">
      <w:start w:val="0"/>
      <w:numFmt w:val="bullet"/>
      <w:lvlText w:val="•"/>
      <w:lvlJc w:val="left"/>
      <w:pPr>
        <w:ind w:left="5810" w:hanging="428"/>
      </w:pPr>
      <w:rPr>
        <w:rFonts w:hint="default"/>
        <w:lang w:val="es-ES" w:eastAsia="es-ES" w:bidi="es-ES"/>
      </w:rPr>
    </w:lvl>
    <w:lvl w:ilvl="6">
      <w:start w:val="0"/>
      <w:numFmt w:val="bullet"/>
      <w:lvlText w:val="•"/>
      <w:lvlJc w:val="left"/>
      <w:pPr>
        <w:ind w:left="6604" w:hanging="428"/>
      </w:pPr>
      <w:rPr>
        <w:rFonts w:hint="default"/>
        <w:lang w:val="es-ES" w:eastAsia="es-ES" w:bidi="es-ES"/>
      </w:rPr>
    </w:lvl>
    <w:lvl w:ilvl="7">
      <w:start w:val="0"/>
      <w:numFmt w:val="bullet"/>
      <w:lvlText w:val="•"/>
      <w:lvlJc w:val="left"/>
      <w:pPr>
        <w:ind w:left="7398" w:hanging="428"/>
      </w:pPr>
      <w:rPr>
        <w:rFonts w:hint="default"/>
        <w:lang w:val="es-ES" w:eastAsia="es-ES" w:bidi="es-ES"/>
      </w:rPr>
    </w:lvl>
    <w:lvl w:ilvl="8">
      <w:start w:val="0"/>
      <w:numFmt w:val="bullet"/>
      <w:lvlText w:val="•"/>
      <w:lvlJc w:val="left"/>
      <w:pPr>
        <w:ind w:left="8192" w:hanging="428"/>
      </w:pPr>
      <w:rPr>
        <w:rFonts w:hint="default"/>
        <w:lang w:val="es-ES" w:eastAsia="es-ES" w:bidi="es-ES"/>
      </w:rPr>
    </w:lvl>
  </w:abstractNum>
  <w:abstractNum w:abstractNumId="12">
    <w:multiLevelType w:val="hybridMultilevel"/>
    <w:lvl w:ilvl="0">
      <w:start w:val="3"/>
      <w:numFmt w:val="decimal"/>
      <w:lvlText w:val="%1"/>
      <w:lvlJc w:val="left"/>
      <w:pPr>
        <w:ind w:left="1566" w:hanging="406"/>
        <w:jc w:val="left"/>
      </w:pPr>
      <w:rPr>
        <w:rFonts w:hint="default"/>
        <w:lang w:val="es-ES" w:eastAsia="es-ES" w:bidi="es-ES"/>
      </w:rPr>
    </w:lvl>
    <w:lvl w:ilvl="1">
      <w:start w:val="1"/>
      <w:numFmt w:val="decimal"/>
      <w:lvlText w:val="%1.%2"/>
      <w:lvlJc w:val="left"/>
      <w:pPr>
        <w:ind w:left="1566" w:hanging="406"/>
        <w:jc w:val="left"/>
      </w:pPr>
      <w:rPr>
        <w:rFonts w:hint="default" w:ascii="Arial" w:hAnsi="Arial" w:eastAsia="Arial" w:cs="Arial"/>
        <w:b/>
        <w:bCs/>
        <w:w w:val="99"/>
        <w:sz w:val="24"/>
        <w:szCs w:val="24"/>
        <w:lang w:val="es-ES" w:eastAsia="es-ES" w:bidi="es-ES"/>
      </w:rPr>
    </w:lvl>
    <w:lvl w:ilvl="2">
      <w:start w:val="1"/>
      <w:numFmt w:val="decimal"/>
      <w:lvlText w:val="%1.%2.%3"/>
      <w:lvlJc w:val="left"/>
      <w:pPr>
        <w:ind w:left="1835" w:hanging="720"/>
        <w:jc w:val="left"/>
      </w:pPr>
      <w:rPr>
        <w:rFonts w:hint="default" w:ascii="Arial" w:hAnsi="Arial" w:eastAsia="Arial" w:cs="Arial"/>
        <w:spacing w:val="-2"/>
        <w:w w:val="99"/>
        <w:sz w:val="24"/>
        <w:szCs w:val="24"/>
        <w:lang w:val="es-ES" w:eastAsia="es-ES" w:bidi="es-ES"/>
      </w:rPr>
    </w:lvl>
    <w:lvl w:ilvl="3">
      <w:start w:val="0"/>
      <w:numFmt w:val="bullet"/>
      <w:lvlText w:val="•"/>
      <w:lvlJc w:val="left"/>
      <w:pPr>
        <w:ind w:left="3604" w:hanging="720"/>
      </w:pPr>
      <w:rPr>
        <w:rFonts w:hint="default"/>
        <w:lang w:val="es-ES" w:eastAsia="es-ES" w:bidi="es-ES"/>
      </w:rPr>
    </w:lvl>
    <w:lvl w:ilvl="4">
      <w:start w:val="0"/>
      <w:numFmt w:val="bullet"/>
      <w:lvlText w:val="•"/>
      <w:lvlJc w:val="left"/>
      <w:pPr>
        <w:ind w:left="4486" w:hanging="720"/>
      </w:pPr>
      <w:rPr>
        <w:rFonts w:hint="default"/>
        <w:lang w:val="es-ES" w:eastAsia="es-ES" w:bidi="es-ES"/>
      </w:rPr>
    </w:lvl>
    <w:lvl w:ilvl="5">
      <w:start w:val="0"/>
      <w:numFmt w:val="bullet"/>
      <w:lvlText w:val="•"/>
      <w:lvlJc w:val="left"/>
      <w:pPr>
        <w:ind w:left="5368" w:hanging="720"/>
      </w:pPr>
      <w:rPr>
        <w:rFonts w:hint="default"/>
        <w:lang w:val="es-ES" w:eastAsia="es-ES" w:bidi="es-ES"/>
      </w:rPr>
    </w:lvl>
    <w:lvl w:ilvl="6">
      <w:start w:val="0"/>
      <w:numFmt w:val="bullet"/>
      <w:lvlText w:val="•"/>
      <w:lvlJc w:val="left"/>
      <w:pPr>
        <w:ind w:left="6251" w:hanging="720"/>
      </w:pPr>
      <w:rPr>
        <w:rFonts w:hint="default"/>
        <w:lang w:val="es-ES" w:eastAsia="es-ES" w:bidi="es-ES"/>
      </w:rPr>
    </w:lvl>
    <w:lvl w:ilvl="7">
      <w:start w:val="0"/>
      <w:numFmt w:val="bullet"/>
      <w:lvlText w:val="•"/>
      <w:lvlJc w:val="left"/>
      <w:pPr>
        <w:ind w:left="7133" w:hanging="720"/>
      </w:pPr>
      <w:rPr>
        <w:rFonts w:hint="default"/>
        <w:lang w:val="es-ES" w:eastAsia="es-ES" w:bidi="es-ES"/>
      </w:rPr>
    </w:lvl>
    <w:lvl w:ilvl="8">
      <w:start w:val="0"/>
      <w:numFmt w:val="bullet"/>
      <w:lvlText w:val="•"/>
      <w:lvlJc w:val="left"/>
      <w:pPr>
        <w:ind w:left="8015" w:hanging="720"/>
      </w:pPr>
      <w:rPr>
        <w:rFonts w:hint="default"/>
        <w:lang w:val="es-ES" w:eastAsia="es-ES" w:bidi="es-ES"/>
      </w:rPr>
    </w:lvl>
  </w:abstractNum>
  <w:abstractNum w:abstractNumId="11">
    <w:multiLevelType w:val="hybridMultilevel"/>
    <w:lvl w:ilvl="0">
      <w:start w:val="1"/>
      <w:numFmt w:val="lowerLetter"/>
      <w:lvlText w:val="%1)"/>
      <w:lvlJc w:val="left"/>
      <w:pPr>
        <w:ind w:left="1475" w:hanging="360"/>
        <w:jc w:val="left"/>
      </w:pPr>
      <w:rPr>
        <w:rFonts w:hint="default" w:ascii="Arial" w:hAnsi="Arial" w:eastAsia="Arial" w:cs="Arial"/>
        <w:w w:val="99"/>
        <w:sz w:val="24"/>
        <w:szCs w:val="24"/>
        <w:lang w:val="es-ES" w:eastAsia="es-ES" w:bidi="es-ES"/>
      </w:rPr>
    </w:lvl>
    <w:lvl w:ilvl="1">
      <w:start w:val="0"/>
      <w:numFmt w:val="bullet"/>
      <w:lvlText w:val="•"/>
      <w:lvlJc w:val="left"/>
      <w:pPr>
        <w:ind w:left="2310" w:hanging="360"/>
      </w:pPr>
      <w:rPr>
        <w:rFonts w:hint="default"/>
        <w:lang w:val="es-ES" w:eastAsia="es-ES" w:bidi="es-ES"/>
      </w:rPr>
    </w:lvl>
    <w:lvl w:ilvl="2">
      <w:start w:val="0"/>
      <w:numFmt w:val="bullet"/>
      <w:lvlText w:val="•"/>
      <w:lvlJc w:val="left"/>
      <w:pPr>
        <w:ind w:left="3140" w:hanging="360"/>
      </w:pPr>
      <w:rPr>
        <w:rFonts w:hint="default"/>
        <w:lang w:val="es-ES" w:eastAsia="es-ES" w:bidi="es-ES"/>
      </w:rPr>
    </w:lvl>
    <w:lvl w:ilvl="3">
      <w:start w:val="0"/>
      <w:numFmt w:val="bullet"/>
      <w:lvlText w:val="•"/>
      <w:lvlJc w:val="left"/>
      <w:pPr>
        <w:ind w:left="3970" w:hanging="360"/>
      </w:pPr>
      <w:rPr>
        <w:rFonts w:hint="default"/>
        <w:lang w:val="es-ES" w:eastAsia="es-ES" w:bidi="es-ES"/>
      </w:rPr>
    </w:lvl>
    <w:lvl w:ilvl="4">
      <w:start w:val="0"/>
      <w:numFmt w:val="bullet"/>
      <w:lvlText w:val="•"/>
      <w:lvlJc w:val="left"/>
      <w:pPr>
        <w:ind w:left="4800" w:hanging="360"/>
      </w:pPr>
      <w:rPr>
        <w:rFonts w:hint="default"/>
        <w:lang w:val="es-ES" w:eastAsia="es-ES" w:bidi="es-ES"/>
      </w:rPr>
    </w:lvl>
    <w:lvl w:ilvl="5">
      <w:start w:val="0"/>
      <w:numFmt w:val="bullet"/>
      <w:lvlText w:val="•"/>
      <w:lvlJc w:val="left"/>
      <w:pPr>
        <w:ind w:left="5630" w:hanging="360"/>
      </w:pPr>
      <w:rPr>
        <w:rFonts w:hint="default"/>
        <w:lang w:val="es-ES" w:eastAsia="es-ES" w:bidi="es-ES"/>
      </w:rPr>
    </w:lvl>
    <w:lvl w:ilvl="6">
      <w:start w:val="0"/>
      <w:numFmt w:val="bullet"/>
      <w:lvlText w:val="•"/>
      <w:lvlJc w:val="left"/>
      <w:pPr>
        <w:ind w:left="6460" w:hanging="360"/>
      </w:pPr>
      <w:rPr>
        <w:rFonts w:hint="default"/>
        <w:lang w:val="es-ES" w:eastAsia="es-ES" w:bidi="es-ES"/>
      </w:rPr>
    </w:lvl>
    <w:lvl w:ilvl="7">
      <w:start w:val="0"/>
      <w:numFmt w:val="bullet"/>
      <w:lvlText w:val="•"/>
      <w:lvlJc w:val="left"/>
      <w:pPr>
        <w:ind w:left="7290" w:hanging="360"/>
      </w:pPr>
      <w:rPr>
        <w:rFonts w:hint="default"/>
        <w:lang w:val="es-ES" w:eastAsia="es-ES" w:bidi="es-ES"/>
      </w:rPr>
    </w:lvl>
    <w:lvl w:ilvl="8">
      <w:start w:val="0"/>
      <w:numFmt w:val="bullet"/>
      <w:lvlText w:val="•"/>
      <w:lvlJc w:val="left"/>
      <w:pPr>
        <w:ind w:left="8120" w:hanging="360"/>
      </w:pPr>
      <w:rPr>
        <w:rFonts w:hint="default"/>
        <w:lang w:val="es-ES" w:eastAsia="es-ES" w:bidi="es-ES"/>
      </w:rPr>
    </w:lvl>
  </w:abstractNum>
  <w:abstractNum w:abstractNumId="10">
    <w:multiLevelType w:val="hybridMultilevel"/>
    <w:lvl w:ilvl="0">
      <w:start w:val="0"/>
      <w:numFmt w:val="bullet"/>
      <w:lvlText w:val=""/>
      <w:lvlJc w:val="left"/>
      <w:pPr>
        <w:ind w:left="1535" w:hanging="360"/>
      </w:pPr>
      <w:rPr>
        <w:rFonts w:hint="default" w:ascii="Symbol" w:hAnsi="Symbol" w:eastAsia="Symbol" w:cs="Symbol"/>
        <w:w w:val="100"/>
        <w:sz w:val="24"/>
        <w:szCs w:val="24"/>
        <w:lang w:val="es-ES" w:eastAsia="es-ES" w:bidi="es-ES"/>
      </w:rPr>
    </w:lvl>
    <w:lvl w:ilvl="1">
      <w:start w:val="0"/>
      <w:numFmt w:val="bullet"/>
      <w:lvlText w:val="•"/>
      <w:lvlJc w:val="left"/>
      <w:pPr>
        <w:ind w:left="2364" w:hanging="360"/>
      </w:pPr>
      <w:rPr>
        <w:rFonts w:hint="default"/>
        <w:lang w:val="es-ES" w:eastAsia="es-ES" w:bidi="es-ES"/>
      </w:rPr>
    </w:lvl>
    <w:lvl w:ilvl="2">
      <w:start w:val="0"/>
      <w:numFmt w:val="bullet"/>
      <w:lvlText w:val="•"/>
      <w:lvlJc w:val="left"/>
      <w:pPr>
        <w:ind w:left="3188" w:hanging="360"/>
      </w:pPr>
      <w:rPr>
        <w:rFonts w:hint="default"/>
        <w:lang w:val="es-ES" w:eastAsia="es-ES" w:bidi="es-ES"/>
      </w:rPr>
    </w:lvl>
    <w:lvl w:ilvl="3">
      <w:start w:val="0"/>
      <w:numFmt w:val="bullet"/>
      <w:lvlText w:val="•"/>
      <w:lvlJc w:val="left"/>
      <w:pPr>
        <w:ind w:left="4012" w:hanging="360"/>
      </w:pPr>
      <w:rPr>
        <w:rFonts w:hint="default"/>
        <w:lang w:val="es-ES" w:eastAsia="es-ES" w:bidi="es-ES"/>
      </w:rPr>
    </w:lvl>
    <w:lvl w:ilvl="4">
      <w:start w:val="0"/>
      <w:numFmt w:val="bullet"/>
      <w:lvlText w:val="•"/>
      <w:lvlJc w:val="left"/>
      <w:pPr>
        <w:ind w:left="4836" w:hanging="360"/>
      </w:pPr>
      <w:rPr>
        <w:rFonts w:hint="default"/>
        <w:lang w:val="es-ES" w:eastAsia="es-ES" w:bidi="es-ES"/>
      </w:rPr>
    </w:lvl>
    <w:lvl w:ilvl="5">
      <w:start w:val="0"/>
      <w:numFmt w:val="bullet"/>
      <w:lvlText w:val="•"/>
      <w:lvlJc w:val="left"/>
      <w:pPr>
        <w:ind w:left="5660" w:hanging="360"/>
      </w:pPr>
      <w:rPr>
        <w:rFonts w:hint="default"/>
        <w:lang w:val="es-ES" w:eastAsia="es-ES" w:bidi="es-ES"/>
      </w:rPr>
    </w:lvl>
    <w:lvl w:ilvl="6">
      <w:start w:val="0"/>
      <w:numFmt w:val="bullet"/>
      <w:lvlText w:val="•"/>
      <w:lvlJc w:val="left"/>
      <w:pPr>
        <w:ind w:left="6484" w:hanging="360"/>
      </w:pPr>
      <w:rPr>
        <w:rFonts w:hint="default"/>
        <w:lang w:val="es-ES" w:eastAsia="es-ES" w:bidi="es-ES"/>
      </w:rPr>
    </w:lvl>
    <w:lvl w:ilvl="7">
      <w:start w:val="0"/>
      <w:numFmt w:val="bullet"/>
      <w:lvlText w:val="•"/>
      <w:lvlJc w:val="left"/>
      <w:pPr>
        <w:ind w:left="7308" w:hanging="360"/>
      </w:pPr>
      <w:rPr>
        <w:rFonts w:hint="default"/>
        <w:lang w:val="es-ES" w:eastAsia="es-ES" w:bidi="es-ES"/>
      </w:rPr>
    </w:lvl>
    <w:lvl w:ilvl="8">
      <w:start w:val="0"/>
      <w:numFmt w:val="bullet"/>
      <w:lvlText w:val="•"/>
      <w:lvlJc w:val="left"/>
      <w:pPr>
        <w:ind w:left="8132" w:hanging="360"/>
      </w:pPr>
      <w:rPr>
        <w:rFonts w:hint="default"/>
        <w:lang w:val="es-ES" w:eastAsia="es-ES" w:bidi="es-ES"/>
      </w:rPr>
    </w:lvl>
  </w:abstractNum>
  <w:abstractNum w:abstractNumId="9">
    <w:multiLevelType w:val="hybridMultilevel"/>
    <w:lvl w:ilvl="0">
      <w:start w:val="2"/>
      <w:numFmt w:val="decimal"/>
      <w:lvlText w:val="%1"/>
      <w:lvlJc w:val="left"/>
      <w:pPr>
        <w:ind w:left="2241" w:hanging="406"/>
        <w:jc w:val="left"/>
      </w:pPr>
      <w:rPr>
        <w:rFonts w:hint="default"/>
        <w:lang w:val="es-ES" w:eastAsia="es-ES" w:bidi="es-ES"/>
      </w:rPr>
    </w:lvl>
    <w:lvl w:ilvl="1">
      <w:start w:val="1"/>
      <w:numFmt w:val="decimal"/>
      <w:lvlText w:val="%1.%2"/>
      <w:lvlJc w:val="left"/>
      <w:pPr>
        <w:ind w:left="2241" w:hanging="406"/>
        <w:jc w:val="left"/>
      </w:pPr>
      <w:rPr>
        <w:rFonts w:hint="default" w:ascii="Arial" w:hAnsi="Arial" w:eastAsia="Arial" w:cs="Arial"/>
        <w:b/>
        <w:bCs/>
        <w:w w:val="99"/>
        <w:sz w:val="24"/>
        <w:szCs w:val="24"/>
        <w:lang w:val="es-ES" w:eastAsia="es-ES" w:bidi="es-ES"/>
      </w:rPr>
    </w:lvl>
    <w:lvl w:ilvl="2">
      <w:start w:val="0"/>
      <w:numFmt w:val="bullet"/>
      <w:lvlText w:val="•"/>
      <w:lvlJc w:val="left"/>
      <w:pPr>
        <w:ind w:left="3748" w:hanging="406"/>
      </w:pPr>
      <w:rPr>
        <w:rFonts w:hint="default"/>
        <w:lang w:val="es-ES" w:eastAsia="es-ES" w:bidi="es-ES"/>
      </w:rPr>
    </w:lvl>
    <w:lvl w:ilvl="3">
      <w:start w:val="0"/>
      <w:numFmt w:val="bullet"/>
      <w:lvlText w:val="•"/>
      <w:lvlJc w:val="left"/>
      <w:pPr>
        <w:ind w:left="4502" w:hanging="406"/>
      </w:pPr>
      <w:rPr>
        <w:rFonts w:hint="default"/>
        <w:lang w:val="es-ES" w:eastAsia="es-ES" w:bidi="es-ES"/>
      </w:rPr>
    </w:lvl>
    <w:lvl w:ilvl="4">
      <w:start w:val="0"/>
      <w:numFmt w:val="bullet"/>
      <w:lvlText w:val="•"/>
      <w:lvlJc w:val="left"/>
      <w:pPr>
        <w:ind w:left="5256" w:hanging="406"/>
      </w:pPr>
      <w:rPr>
        <w:rFonts w:hint="default"/>
        <w:lang w:val="es-ES" w:eastAsia="es-ES" w:bidi="es-ES"/>
      </w:rPr>
    </w:lvl>
    <w:lvl w:ilvl="5">
      <w:start w:val="0"/>
      <w:numFmt w:val="bullet"/>
      <w:lvlText w:val="•"/>
      <w:lvlJc w:val="left"/>
      <w:pPr>
        <w:ind w:left="6010" w:hanging="406"/>
      </w:pPr>
      <w:rPr>
        <w:rFonts w:hint="default"/>
        <w:lang w:val="es-ES" w:eastAsia="es-ES" w:bidi="es-ES"/>
      </w:rPr>
    </w:lvl>
    <w:lvl w:ilvl="6">
      <w:start w:val="0"/>
      <w:numFmt w:val="bullet"/>
      <w:lvlText w:val="•"/>
      <w:lvlJc w:val="left"/>
      <w:pPr>
        <w:ind w:left="6764" w:hanging="406"/>
      </w:pPr>
      <w:rPr>
        <w:rFonts w:hint="default"/>
        <w:lang w:val="es-ES" w:eastAsia="es-ES" w:bidi="es-ES"/>
      </w:rPr>
    </w:lvl>
    <w:lvl w:ilvl="7">
      <w:start w:val="0"/>
      <w:numFmt w:val="bullet"/>
      <w:lvlText w:val="•"/>
      <w:lvlJc w:val="left"/>
      <w:pPr>
        <w:ind w:left="7518" w:hanging="406"/>
      </w:pPr>
      <w:rPr>
        <w:rFonts w:hint="default"/>
        <w:lang w:val="es-ES" w:eastAsia="es-ES" w:bidi="es-ES"/>
      </w:rPr>
    </w:lvl>
    <w:lvl w:ilvl="8">
      <w:start w:val="0"/>
      <w:numFmt w:val="bullet"/>
      <w:lvlText w:val="•"/>
      <w:lvlJc w:val="left"/>
      <w:pPr>
        <w:ind w:left="8272" w:hanging="406"/>
      </w:pPr>
      <w:rPr>
        <w:rFonts w:hint="default"/>
        <w:lang w:val="es-ES" w:eastAsia="es-ES" w:bidi="es-ES"/>
      </w:rPr>
    </w:lvl>
  </w:abstractNum>
  <w:abstractNum w:abstractNumId="8">
    <w:multiLevelType w:val="hybridMultilevel"/>
    <w:lvl w:ilvl="0">
      <w:start w:val="1"/>
      <w:numFmt w:val="decimal"/>
      <w:lvlText w:val="%1."/>
      <w:lvlJc w:val="left"/>
      <w:pPr>
        <w:ind w:left="1281" w:hanging="360"/>
        <w:jc w:val="left"/>
      </w:pPr>
      <w:rPr>
        <w:rFonts w:hint="default" w:ascii="Arial" w:hAnsi="Arial" w:eastAsia="Arial" w:cs="Arial"/>
        <w:spacing w:val="-21"/>
        <w:w w:val="99"/>
        <w:sz w:val="24"/>
        <w:szCs w:val="24"/>
        <w:lang w:val="es-ES" w:eastAsia="es-ES" w:bidi="es-ES"/>
      </w:rPr>
    </w:lvl>
    <w:lvl w:ilvl="1">
      <w:start w:val="1"/>
      <w:numFmt w:val="lowerLetter"/>
      <w:lvlText w:val="%2)"/>
      <w:lvlJc w:val="left"/>
      <w:pPr>
        <w:ind w:left="1398" w:hanging="360"/>
        <w:jc w:val="left"/>
      </w:pPr>
      <w:rPr>
        <w:rFonts w:hint="default" w:ascii="Arial" w:hAnsi="Arial" w:eastAsia="Arial" w:cs="Arial"/>
        <w:w w:val="99"/>
        <w:sz w:val="24"/>
        <w:szCs w:val="24"/>
        <w:lang w:val="es-ES" w:eastAsia="es-ES" w:bidi="es-ES"/>
      </w:rPr>
    </w:lvl>
    <w:lvl w:ilvl="2">
      <w:start w:val="0"/>
      <w:numFmt w:val="bullet"/>
      <w:lvlText w:val=""/>
      <w:lvlJc w:val="left"/>
      <w:pPr>
        <w:ind w:left="1758" w:hanging="360"/>
      </w:pPr>
      <w:rPr>
        <w:rFonts w:hint="default" w:ascii="Wingdings" w:hAnsi="Wingdings" w:eastAsia="Wingdings" w:cs="Wingdings"/>
        <w:w w:val="100"/>
        <w:sz w:val="24"/>
        <w:szCs w:val="24"/>
        <w:lang w:val="es-ES" w:eastAsia="es-ES" w:bidi="es-ES"/>
      </w:rPr>
    </w:lvl>
    <w:lvl w:ilvl="3">
      <w:start w:val="0"/>
      <w:numFmt w:val="bullet"/>
      <w:lvlText w:val="•"/>
      <w:lvlJc w:val="left"/>
      <w:pPr>
        <w:ind w:left="2762" w:hanging="360"/>
      </w:pPr>
      <w:rPr>
        <w:rFonts w:hint="default"/>
        <w:lang w:val="es-ES" w:eastAsia="es-ES" w:bidi="es-ES"/>
      </w:rPr>
    </w:lvl>
    <w:lvl w:ilvl="4">
      <w:start w:val="0"/>
      <w:numFmt w:val="bullet"/>
      <w:lvlText w:val="•"/>
      <w:lvlJc w:val="left"/>
      <w:pPr>
        <w:ind w:left="3765" w:hanging="360"/>
      </w:pPr>
      <w:rPr>
        <w:rFonts w:hint="default"/>
        <w:lang w:val="es-ES" w:eastAsia="es-ES" w:bidi="es-ES"/>
      </w:rPr>
    </w:lvl>
    <w:lvl w:ilvl="5">
      <w:start w:val="0"/>
      <w:numFmt w:val="bullet"/>
      <w:lvlText w:val="•"/>
      <w:lvlJc w:val="left"/>
      <w:pPr>
        <w:ind w:left="4767" w:hanging="360"/>
      </w:pPr>
      <w:rPr>
        <w:rFonts w:hint="default"/>
        <w:lang w:val="es-ES" w:eastAsia="es-ES" w:bidi="es-ES"/>
      </w:rPr>
    </w:lvl>
    <w:lvl w:ilvl="6">
      <w:start w:val="0"/>
      <w:numFmt w:val="bullet"/>
      <w:lvlText w:val="•"/>
      <w:lvlJc w:val="left"/>
      <w:pPr>
        <w:ind w:left="5770" w:hanging="360"/>
      </w:pPr>
      <w:rPr>
        <w:rFonts w:hint="default"/>
        <w:lang w:val="es-ES" w:eastAsia="es-ES" w:bidi="es-ES"/>
      </w:rPr>
    </w:lvl>
    <w:lvl w:ilvl="7">
      <w:start w:val="0"/>
      <w:numFmt w:val="bullet"/>
      <w:lvlText w:val="•"/>
      <w:lvlJc w:val="left"/>
      <w:pPr>
        <w:ind w:left="6772" w:hanging="360"/>
      </w:pPr>
      <w:rPr>
        <w:rFonts w:hint="default"/>
        <w:lang w:val="es-ES" w:eastAsia="es-ES" w:bidi="es-ES"/>
      </w:rPr>
    </w:lvl>
    <w:lvl w:ilvl="8">
      <w:start w:val="0"/>
      <w:numFmt w:val="bullet"/>
      <w:lvlText w:val="•"/>
      <w:lvlJc w:val="left"/>
      <w:pPr>
        <w:ind w:left="7775" w:hanging="360"/>
      </w:pPr>
      <w:rPr>
        <w:rFonts w:hint="default"/>
        <w:lang w:val="es-ES" w:eastAsia="es-ES" w:bidi="es-ES"/>
      </w:rPr>
    </w:lvl>
  </w:abstractNum>
  <w:abstractNum w:abstractNumId="7">
    <w:multiLevelType w:val="hybridMultilevel"/>
    <w:lvl w:ilvl="0">
      <w:start w:val="0"/>
      <w:numFmt w:val="bullet"/>
      <w:lvlText w:val=""/>
      <w:lvlJc w:val="left"/>
      <w:pPr>
        <w:ind w:left="1475" w:hanging="360"/>
      </w:pPr>
      <w:rPr>
        <w:rFonts w:hint="default" w:ascii="Symbol" w:hAnsi="Symbol" w:eastAsia="Symbol" w:cs="Symbol"/>
        <w:w w:val="100"/>
        <w:sz w:val="24"/>
        <w:szCs w:val="24"/>
        <w:lang w:val="es-ES" w:eastAsia="es-ES" w:bidi="es-ES"/>
      </w:rPr>
    </w:lvl>
    <w:lvl w:ilvl="1">
      <w:start w:val="0"/>
      <w:numFmt w:val="bullet"/>
      <w:lvlText w:val="•"/>
      <w:lvlJc w:val="left"/>
      <w:pPr>
        <w:ind w:left="2310" w:hanging="360"/>
      </w:pPr>
      <w:rPr>
        <w:rFonts w:hint="default"/>
        <w:lang w:val="es-ES" w:eastAsia="es-ES" w:bidi="es-ES"/>
      </w:rPr>
    </w:lvl>
    <w:lvl w:ilvl="2">
      <w:start w:val="0"/>
      <w:numFmt w:val="bullet"/>
      <w:lvlText w:val="•"/>
      <w:lvlJc w:val="left"/>
      <w:pPr>
        <w:ind w:left="3140" w:hanging="360"/>
      </w:pPr>
      <w:rPr>
        <w:rFonts w:hint="default"/>
        <w:lang w:val="es-ES" w:eastAsia="es-ES" w:bidi="es-ES"/>
      </w:rPr>
    </w:lvl>
    <w:lvl w:ilvl="3">
      <w:start w:val="0"/>
      <w:numFmt w:val="bullet"/>
      <w:lvlText w:val="•"/>
      <w:lvlJc w:val="left"/>
      <w:pPr>
        <w:ind w:left="3970" w:hanging="360"/>
      </w:pPr>
      <w:rPr>
        <w:rFonts w:hint="default"/>
        <w:lang w:val="es-ES" w:eastAsia="es-ES" w:bidi="es-ES"/>
      </w:rPr>
    </w:lvl>
    <w:lvl w:ilvl="4">
      <w:start w:val="0"/>
      <w:numFmt w:val="bullet"/>
      <w:lvlText w:val="•"/>
      <w:lvlJc w:val="left"/>
      <w:pPr>
        <w:ind w:left="4800" w:hanging="360"/>
      </w:pPr>
      <w:rPr>
        <w:rFonts w:hint="default"/>
        <w:lang w:val="es-ES" w:eastAsia="es-ES" w:bidi="es-ES"/>
      </w:rPr>
    </w:lvl>
    <w:lvl w:ilvl="5">
      <w:start w:val="0"/>
      <w:numFmt w:val="bullet"/>
      <w:lvlText w:val="•"/>
      <w:lvlJc w:val="left"/>
      <w:pPr>
        <w:ind w:left="5630" w:hanging="360"/>
      </w:pPr>
      <w:rPr>
        <w:rFonts w:hint="default"/>
        <w:lang w:val="es-ES" w:eastAsia="es-ES" w:bidi="es-ES"/>
      </w:rPr>
    </w:lvl>
    <w:lvl w:ilvl="6">
      <w:start w:val="0"/>
      <w:numFmt w:val="bullet"/>
      <w:lvlText w:val="•"/>
      <w:lvlJc w:val="left"/>
      <w:pPr>
        <w:ind w:left="6460" w:hanging="360"/>
      </w:pPr>
      <w:rPr>
        <w:rFonts w:hint="default"/>
        <w:lang w:val="es-ES" w:eastAsia="es-ES" w:bidi="es-ES"/>
      </w:rPr>
    </w:lvl>
    <w:lvl w:ilvl="7">
      <w:start w:val="0"/>
      <w:numFmt w:val="bullet"/>
      <w:lvlText w:val="•"/>
      <w:lvlJc w:val="left"/>
      <w:pPr>
        <w:ind w:left="7290" w:hanging="360"/>
      </w:pPr>
      <w:rPr>
        <w:rFonts w:hint="default"/>
        <w:lang w:val="es-ES" w:eastAsia="es-ES" w:bidi="es-ES"/>
      </w:rPr>
    </w:lvl>
    <w:lvl w:ilvl="8">
      <w:start w:val="0"/>
      <w:numFmt w:val="bullet"/>
      <w:lvlText w:val="•"/>
      <w:lvlJc w:val="left"/>
      <w:pPr>
        <w:ind w:left="8120" w:hanging="360"/>
      </w:pPr>
      <w:rPr>
        <w:rFonts w:hint="default"/>
        <w:lang w:val="es-ES" w:eastAsia="es-ES" w:bidi="es-ES"/>
      </w:rPr>
    </w:lvl>
  </w:abstractNum>
  <w:abstractNum w:abstractNumId="6">
    <w:multiLevelType w:val="hybridMultilevel"/>
    <w:lvl w:ilvl="0">
      <w:start w:val="1"/>
      <w:numFmt w:val="decimal"/>
      <w:lvlText w:val="%1"/>
      <w:lvlJc w:val="left"/>
      <w:pPr>
        <w:ind w:left="2241" w:hanging="406"/>
        <w:jc w:val="left"/>
      </w:pPr>
      <w:rPr>
        <w:rFonts w:hint="default"/>
        <w:lang w:val="es-ES" w:eastAsia="es-ES" w:bidi="es-ES"/>
      </w:rPr>
    </w:lvl>
    <w:lvl w:ilvl="1">
      <w:start w:val="1"/>
      <w:numFmt w:val="decimal"/>
      <w:lvlText w:val="%1.%2"/>
      <w:lvlJc w:val="left"/>
      <w:pPr>
        <w:ind w:left="2241" w:hanging="406"/>
        <w:jc w:val="left"/>
      </w:pPr>
      <w:rPr>
        <w:rFonts w:hint="default" w:ascii="Arial" w:hAnsi="Arial" w:eastAsia="Arial" w:cs="Arial"/>
        <w:b/>
        <w:bCs/>
        <w:w w:val="99"/>
        <w:sz w:val="24"/>
        <w:szCs w:val="24"/>
        <w:lang w:val="es-ES" w:eastAsia="es-ES" w:bidi="es-ES"/>
      </w:rPr>
    </w:lvl>
    <w:lvl w:ilvl="2">
      <w:start w:val="0"/>
      <w:numFmt w:val="bullet"/>
      <w:lvlText w:val="•"/>
      <w:lvlJc w:val="left"/>
      <w:pPr>
        <w:ind w:left="3748" w:hanging="406"/>
      </w:pPr>
      <w:rPr>
        <w:rFonts w:hint="default"/>
        <w:lang w:val="es-ES" w:eastAsia="es-ES" w:bidi="es-ES"/>
      </w:rPr>
    </w:lvl>
    <w:lvl w:ilvl="3">
      <w:start w:val="0"/>
      <w:numFmt w:val="bullet"/>
      <w:lvlText w:val="•"/>
      <w:lvlJc w:val="left"/>
      <w:pPr>
        <w:ind w:left="4502" w:hanging="406"/>
      </w:pPr>
      <w:rPr>
        <w:rFonts w:hint="default"/>
        <w:lang w:val="es-ES" w:eastAsia="es-ES" w:bidi="es-ES"/>
      </w:rPr>
    </w:lvl>
    <w:lvl w:ilvl="4">
      <w:start w:val="0"/>
      <w:numFmt w:val="bullet"/>
      <w:lvlText w:val="•"/>
      <w:lvlJc w:val="left"/>
      <w:pPr>
        <w:ind w:left="5256" w:hanging="406"/>
      </w:pPr>
      <w:rPr>
        <w:rFonts w:hint="default"/>
        <w:lang w:val="es-ES" w:eastAsia="es-ES" w:bidi="es-ES"/>
      </w:rPr>
    </w:lvl>
    <w:lvl w:ilvl="5">
      <w:start w:val="0"/>
      <w:numFmt w:val="bullet"/>
      <w:lvlText w:val="•"/>
      <w:lvlJc w:val="left"/>
      <w:pPr>
        <w:ind w:left="6010" w:hanging="406"/>
      </w:pPr>
      <w:rPr>
        <w:rFonts w:hint="default"/>
        <w:lang w:val="es-ES" w:eastAsia="es-ES" w:bidi="es-ES"/>
      </w:rPr>
    </w:lvl>
    <w:lvl w:ilvl="6">
      <w:start w:val="0"/>
      <w:numFmt w:val="bullet"/>
      <w:lvlText w:val="•"/>
      <w:lvlJc w:val="left"/>
      <w:pPr>
        <w:ind w:left="6764" w:hanging="406"/>
      </w:pPr>
      <w:rPr>
        <w:rFonts w:hint="default"/>
        <w:lang w:val="es-ES" w:eastAsia="es-ES" w:bidi="es-ES"/>
      </w:rPr>
    </w:lvl>
    <w:lvl w:ilvl="7">
      <w:start w:val="0"/>
      <w:numFmt w:val="bullet"/>
      <w:lvlText w:val="•"/>
      <w:lvlJc w:val="left"/>
      <w:pPr>
        <w:ind w:left="7518" w:hanging="406"/>
      </w:pPr>
      <w:rPr>
        <w:rFonts w:hint="default"/>
        <w:lang w:val="es-ES" w:eastAsia="es-ES" w:bidi="es-ES"/>
      </w:rPr>
    </w:lvl>
    <w:lvl w:ilvl="8">
      <w:start w:val="0"/>
      <w:numFmt w:val="bullet"/>
      <w:lvlText w:val="•"/>
      <w:lvlJc w:val="left"/>
      <w:pPr>
        <w:ind w:left="8272" w:hanging="406"/>
      </w:pPr>
      <w:rPr>
        <w:rFonts w:hint="default"/>
        <w:lang w:val="es-ES" w:eastAsia="es-ES" w:bidi="es-ES"/>
      </w:rPr>
    </w:lvl>
  </w:abstractNum>
  <w:abstractNum w:abstractNumId="5">
    <w:multiLevelType w:val="hybridMultilevel"/>
    <w:lvl w:ilvl="0">
      <w:start w:val="1"/>
      <w:numFmt w:val="upperRoman"/>
      <w:lvlText w:val="%1."/>
      <w:lvlJc w:val="left"/>
      <w:pPr>
        <w:ind w:left="1835" w:hanging="720"/>
        <w:jc w:val="right"/>
      </w:pPr>
      <w:rPr>
        <w:rFonts w:hint="default" w:ascii="Arial" w:hAnsi="Arial" w:eastAsia="Arial" w:cs="Arial"/>
        <w:b/>
        <w:bCs/>
        <w:spacing w:val="-15"/>
        <w:w w:val="99"/>
        <w:sz w:val="24"/>
        <w:szCs w:val="24"/>
        <w:lang w:val="es-ES" w:eastAsia="es-ES" w:bidi="es-ES"/>
      </w:rPr>
    </w:lvl>
    <w:lvl w:ilvl="1">
      <w:start w:val="0"/>
      <w:numFmt w:val="bullet"/>
      <w:lvlText w:val="•"/>
      <w:lvlJc w:val="left"/>
      <w:pPr>
        <w:ind w:left="2634" w:hanging="720"/>
      </w:pPr>
      <w:rPr>
        <w:rFonts w:hint="default"/>
        <w:lang w:val="es-ES" w:eastAsia="es-ES" w:bidi="es-ES"/>
      </w:rPr>
    </w:lvl>
    <w:lvl w:ilvl="2">
      <w:start w:val="0"/>
      <w:numFmt w:val="bullet"/>
      <w:lvlText w:val="•"/>
      <w:lvlJc w:val="left"/>
      <w:pPr>
        <w:ind w:left="3428" w:hanging="720"/>
      </w:pPr>
      <w:rPr>
        <w:rFonts w:hint="default"/>
        <w:lang w:val="es-ES" w:eastAsia="es-ES" w:bidi="es-ES"/>
      </w:rPr>
    </w:lvl>
    <w:lvl w:ilvl="3">
      <w:start w:val="0"/>
      <w:numFmt w:val="bullet"/>
      <w:lvlText w:val="•"/>
      <w:lvlJc w:val="left"/>
      <w:pPr>
        <w:ind w:left="4222" w:hanging="720"/>
      </w:pPr>
      <w:rPr>
        <w:rFonts w:hint="default"/>
        <w:lang w:val="es-ES" w:eastAsia="es-ES" w:bidi="es-ES"/>
      </w:rPr>
    </w:lvl>
    <w:lvl w:ilvl="4">
      <w:start w:val="0"/>
      <w:numFmt w:val="bullet"/>
      <w:lvlText w:val="•"/>
      <w:lvlJc w:val="left"/>
      <w:pPr>
        <w:ind w:left="5016" w:hanging="720"/>
      </w:pPr>
      <w:rPr>
        <w:rFonts w:hint="default"/>
        <w:lang w:val="es-ES" w:eastAsia="es-ES" w:bidi="es-ES"/>
      </w:rPr>
    </w:lvl>
    <w:lvl w:ilvl="5">
      <w:start w:val="0"/>
      <w:numFmt w:val="bullet"/>
      <w:lvlText w:val="•"/>
      <w:lvlJc w:val="left"/>
      <w:pPr>
        <w:ind w:left="5810" w:hanging="720"/>
      </w:pPr>
      <w:rPr>
        <w:rFonts w:hint="default"/>
        <w:lang w:val="es-ES" w:eastAsia="es-ES" w:bidi="es-ES"/>
      </w:rPr>
    </w:lvl>
    <w:lvl w:ilvl="6">
      <w:start w:val="0"/>
      <w:numFmt w:val="bullet"/>
      <w:lvlText w:val="•"/>
      <w:lvlJc w:val="left"/>
      <w:pPr>
        <w:ind w:left="6604" w:hanging="720"/>
      </w:pPr>
      <w:rPr>
        <w:rFonts w:hint="default"/>
        <w:lang w:val="es-ES" w:eastAsia="es-ES" w:bidi="es-ES"/>
      </w:rPr>
    </w:lvl>
    <w:lvl w:ilvl="7">
      <w:start w:val="0"/>
      <w:numFmt w:val="bullet"/>
      <w:lvlText w:val="•"/>
      <w:lvlJc w:val="left"/>
      <w:pPr>
        <w:ind w:left="7398" w:hanging="720"/>
      </w:pPr>
      <w:rPr>
        <w:rFonts w:hint="default"/>
        <w:lang w:val="es-ES" w:eastAsia="es-ES" w:bidi="es-ES"/>
      </w:rPr>
    </w:lvl>
    <w:lvl w:ilvl="8">
      <w:start w:val="0"/>
      <w:numFmt w:val="bullet"/>
      <w:lvlText w:val="•"/>
      <w:lvlJc w:val="left"/>
      <w:pPr>
        <w:ind w:left="8192" w:hanging="720"/>
      </w:pPr>
      <w:rPr>
        <w:rFonts w:hint="default"/>
        <w:lang w:val="es-ES" w:eastAsia="es-ES" w:bidi="es-ES"/>
      </w:rPr>
    </w:lvl>
  </w:abstractNum>
  <w:abstractNum w:abstractNumId="4">
    <w:multiLevelType w:val="hybridMultilevel"/>
    <w:lvl w:ilvl="0">
      <w:start w:val="9"/>
      <w:numFmt w:val="decimal"/>
      <w:lvlText w:val="%1"/>
      <w:lvlJc w:val="left"/>
      <w:pPr>
        <w:ind w:left="2195" w:hanging="1001"/>
        <w:jc w:val="left"/>
      </w:pPr>
      <w:rPr>
        <w:rFonts w:hint="default"/>
        <w:lang w:val="es-ES" w:eastAsia="es-ES" w:bidi="es-ES"/>
      </w:rPr>
    </w:lvl>
    <w:lvl w:ilvl="1">
      <w:start w:val="1"/>
      <w:numFmt w:val="decimal"/>
      <w:lvlText w:val="%1.%2"/>
      <w:lvlJc w:val="left"/>
      <w:pPr>
        <w:ind w:left="2195" w:hanging="1001"/>
        <w:jc w:val="left"/>
      </w:pPr>
      <w:rPr>
        <w:rFonts w:hint="default" w:ascii="Arial" w:hAnsi="Arial" w:eastAsia="Arial" w:cs="Arial"/>
        <w:spacing w:val="-4"/>
        <w:w w:val="99"/>
        <w:sz w:val="24"/>
        <w:szCs w:val="24"/>
        <w:lang w:val="es-ES" w:eastAsia="es-ES" w:bidi="es-ES"/>
      </w:rPr>
    </w:lvl>
    <w:lvl w:ilvl="2">
      <w:start w:val="0"/>
      <w:numFmt w:val="bullet"/>
      <w:lvlText w:val="•"/>
      <w:lvlJc w:val="left"/>
      <w:pPr>
        <w:ind w:left="3716" w:hanging="1001"/>
      </w:pPr>
      <w:rPr>
        <w:rFonts w:hint="default"/>
        <w:lang w:val="es-ES" w:eastAsia="es-ES" w:bidi="es-ES"/>
      </w:rPr>
    </w:lvl>
    <w:lvl w:ilvl="3">
      <w:start w:val="0"/>
      <w:numFmt w:val="bullet"/>
      <w:lvlText w:val="•"/>
      <w:lvlJc w:val="left"/>
      <w:pPr>
        <w:ind w:left="4474" w:hanging="1001"/>
      </w:pPr>
      <w:rPr>
        <w:rFonts w:hint="default"/>
        <w:lang w:val="es-ES" w:eastAsia="es-ES" w:bidi="es-ES"/>
      </w:rPr>
    </w:lvl>
    <w:lvl w:ilvl="4">
      <w:start w:val="0"/>
      <w:numFmt w:val="bullet"/>
      <w:lvlText w:val="•"/>
      <w:lvlJc w:val="left"/>
      <w:pPr>
        <w:ind w:left="5232" w:hanging="1001"/>
      </w:pPr>
      <w:rPr>
        <w:rFonts w:hint="default"/>
        <w:lang w:val="es-ES" w:eastAsia="es-ES" w:bidi="es-ES"/>
      </w:rPr>
    </w:lvl>
    <w:lvl w:ilvl="5">
      <w:start w:val="0"/>
      <w:numFmt w:val="bullet"/>
      <w:lvlText w:val="•"/>
      <w:lvlJc w:val="left"/>
      <w:pPr>
        <w:ind w:left="5990" w:hanging="1001"/>
      </w:pPr>
      <w:rPr>
        <w:rFonts w:hint="default"/>
        <w:lang w:val="es-ES" w:eastAsia="es-ES" w:bidi="es-ES"/>
      </w:rPr>
    </w:lvl>
    <w:lvl w:ilvl="6">
      <w:start w:val="0"/>
      <w:numFmt w:val="bullet"/>
      <w:lvlText w:val="•"/>
      <w:lvlJc w:val="left"/>
      <w:pPr>
        <w:ind w:left="6748" w:hanging="1001"/>
      </w:pPr>
      <w:rPr>
        <w:rFonts w:hint="default"/>
        <w:lang w:val="es-ES" w:eastAsia="es-ES" w:bidi="es-ES"/>
      </w:rPr>
    </w:lvl>
    <w:lvl w:ilvl="7">
      <w:start w:val="0"/>
      <w:numFmt w:val="bullet"/>
      <w:lvlText w:val="•"/>
      <w:lvlJc w:val="left"/>
      <w:pPr>
        <w:ind w:left="7506" w:hanging="1001"/>
      </w:pPr>
      <w:rPr>
        <w:rFonts w:hint="default"/>
        <w:lang w:val="es-ES" w:eastAsia="es-ES" w:bidi="es-ES"/>
      </w:rPr>
    </w:lvl>
    <w:lvl w:ilvl="8">
      <w:start w:val="0"/>
      <w:numFmt w:val="bullet"/>
      <w:lvlText w:val="•"/>
      <w:lvlJc w:val="left"/>
      <w:pPr>
        <w:ind w:left="8264" w:hanging="1001"/>
      </w:pPr>
      <w:rPr>
        <w:rFonts w:hint="default"/>
        <w:lang w:val="es-ES" w:eastAsia="es-ES" w:bidi="es-ES"/>
      </w:rPr>
    </w:lvl>
  </w:abstractNum>
  <w:abstractNum w:abstractNumId="3">
    <w:multiLevelType w:val="hybridMultilevel"/>
    <w:lvl w:ilvl="0">
      <w:start w:val="3"/>
      <w:numFmt w:val="decimal"/>
      <w:lvlText w:val="%1"/>
      <w:lvlJc w:val="left"/>
      <w:pPr>
        <w:ind w:left="2195" w:hanging="1001"/>
        <w:jc w:val="left"/>
      </w:pPr>
      <w:rPr>
        <w:rFonts w:hint="default"/>
        <w:lang w:val="es-ES" w:eastAsia="es-ES" w:bidi="es-ES"/>
      </w:rPr>
    </w:lvl>
    <w:lvl w:ilvl="1">
      <w:start w:val="1"/>
      <w:numFmt w:val="decimal"/>
      <w:lvlText w:val="%1.%2"/>
      <w:lvlJc w:val="left"/>
      <w:pPr>
        <w:ind w:left="2195" w:hanging="1001"/>
        <w:jc w:val="left"/>
      </w:pPr>
      <w:rPr>
        <w:rFonts w:hint="default" w:ascii="Arial" w:hAnsi="Arial" w:eastAsia="Arial" w:cs="Arial"/>
        <w:spacing w:val="-5"/>
        <w:w w:val="99"/>
        <w:sz w:val="24"/>
        <w:szCs w:val="24"/>
        <w:lang w:val="es-ES" w:eastAsia="es-ES" w:bidi="es-ES"/>
      </w:rPr>
    </w:lvl>
    <w:lvl w:ilvl="2">
      <w:start w:val="0"/>
      <w:numFmt w:val="bullet"/>
      <w:lvlText w:val="•"/>
      <w:lvlJc w:val="left"/>
      <w:pPr>
        <w:ind w:left="3716" w:hanging="1001"/>
      </w:pPr>
      <w:rPr>
        <w:rFonts w:hint="default"/>
        <w:lang w:val="es-ES" w:eastAsia="es-ES" w:bidi="es-ES"/>
      </w:rPr>
    </w:lvl>
    <w:lvl w:ilvl="3">
      <w:start w:val="0"/>
      <w:numFmt w:val="bullet"/>
      <w:lvlText w:val="•"/>
      <w:lvlJc w:val="left"/>
      <w:pPr>
        <w:ind w:left="4474" w:hanging="1001"/>
      </w:pPr>
      <w:rPr>
        <w:rFonts w:hint="default"/>
        <w:lang w:val="es-ES" w:eastAsia="es-ES" w:bidi="es-ES"/>
      </w:rPr>
    </w:lvl>
    <w:lvl w:ilvl="4">
      <w:start w:val="0"/>
      <w:numFmt w:val="bullet"/>
      <w:lvlText w:val="•"/>
      <w:lvlJc w:val="left"/>
      <w:pPr>
        <w:ind w:left="5232" w:hanging="1001"/>
      </w:pPr>
      <w:rPr>
        <w:rFonts w:hint="default"/>
        <w:lang w:val="es-ES" w:eastAsia="es-ES" w:bidi="es-ES"/>
      </w:rPr>
    </w:lvl>
    <w:lvl w:ilvl="5">
      <w:start w:val="0"/>
      <w:numFmt w:val="bullet"/>
      <w:lvlText w:val="•"/>
      <w:lvlJc w:val="left"/>
      <w:pPr>
        <w:ind w:left="5990" w:hanging="1001"/>
      </w:pPr>
      <w:rPr>
        <w:rFonts w:hint="default"/>
        <w:lang w:val="es-ES" w:eastAsia="es-ES" w:bidi="es-ES"/>
      </w:rPr>
    </w:lvl>
    <w:lvl w:ilvl="6">
      <w:start w:val="0"/>
      <w:numFmt w:val="bullet"/>
      <w:lvlText w:val="•"/>
      <w:lvlJc w:val="left"/>
      <w:pPr>
        <w:ind w:left="6748" w:hanging="1001"/>
      </w:pPr>
      <w:rPr>
        <w:rFonts w:hint="default"/>
        <w:lang w:val="es-ES" w:eastAsia="es-ES" w:bidi="es-ES"/>
      </w:rPr>
    </w:lvl>
    <w:lvl w:ilvl="7">
      <w:start w:val="0"/>
      <w:numFmt w:val="bullet"/>
      <w:lvlText w:val="•"/>
      <w:lvlJc w:val="left"/>
      <w:pPr>
        <w:ind w:left="7506" w:hanging="1001"/>
      </w:pPr>
      <w:rPr>
        <w:rFonts w:hint="default"/>
        <w:lang w:val="es-ES" w:eastAsia="es-ES" w:bidi="es-ES"/>
      </w:rPr>
    </w:lvl>
    <w:lvl w:ilvl="8">
      <w:start w:val="0"/>
      <w:numFmt w:val="bullet"/>
      <w:lvlText w:val="•"/>
      <w:lvlJc w:val="left"/>
      <w:pPr>
        <w:ind w:left="8264" w:hanging="1001"/>
      </w:pPr>
      <w:rPr>
        <w:rFonts w:hint="default"/>
        <w:lang w:val="es-ES" w:eastAsia="es-ES" w:bidi="es-ES"/>
      </w:rPr>
    </w:lvl>
  </w:abstractNum>
  <w:abstractNum w:abstractNumId="2">
    <w:multiLevelType w:val="hybridMultilevel"/>
    <w:lvl w:ilvl="0">
      <w:start w:val="2"/>
      <w:numFmt w:val="decimal"/>
      <w:lvlText w:val="%1"/>
      <w:lvlJc w:val="left"/>
      <w:pPr>
        <w:ind w:left="2195" w:hanging="1001"/>
        <w:jc w:val="left"/>
      </w:pPr>
      <w:rPr>
        <w:rFonts w:hint="default"/>
        <w:lang w:val="es-ES" w:eastAsia="es-ES" w:bidi="es-ES"/>
      </w:rPr>
    </w:lvl>
    <w:lvl w:ilvl="1">
      <w:start w:val="1"/>
      <w:numFmt w:val="decimal"/>
      <w:lvlText w:val="%1.%2"/>
      <w:lvlJc w:val="left"/>
      <w:pPr>
        <w:ind w:left="2195" w:hanging="1001"/>
        <w:jc w:val="left"/>
      </w:pPr>
      <w:rPr>
        <w:rFonts w:hint="default" w:ascii="Arial" w:hAnsi="Arial" w:eastAsia="Arial" w:cs="Arial"/>
        <w:spacing w:val="-3"/>
        <w:w w:val="99"/>
        <w:sz w:val="24"/>
        <w:szCs w:val="24"/>
        <w:lang w:val="es-ES" w:eastAsia="es-ES" w:bidi="es-ES"/>
      </w:rPr>
    </w:lvl>
    <w:lvl w:ilvl="2">
      <w:start w:val="0"/>
      <w:numFmt w:val="bullet"/>
      <w:lvlText w:val="•"/>
      <w:lvlJc w:val="left"/>
      <w:pPr>
        <w:ind w:left="3716" w:hanging="1001"/>
      </w:pPr>
      <w:rPr>
        <w:rFonts w:hint="default"/>
        <w:lang w:val="es-ES" w:eastAsia="es-ES" w:bidi="es-ES"/>
      </w:rPr>
    </w:lvl>
    <w:lvl w:ilvl="3">
      <w:start w:val="0"/>
      <w:numFmt w:val="bullet"/>
      <w:lvlText w:val="•"/>
      <w:lvlJc w:val="left"/>
      <w:pPr>
        <w:ind w:left="4474" w:hanging="1001"/>
      </w:pPr>
      <w:rPr>
        <w:rFonts w:hint="default"/>
        <w:lang w:val="es-ES" w:eastAsia="es-ES" w:bidi="es-ES"/>
      </w:rPr>
    </w:lvl>
    <w:lvl w:ilvl="4">
      <w:start w:val="0"/>
      <w:numFmt w:val="bullet"/>
      <w:lvlText w:val="•"/>
      <w:lvlJc w:val="left"/>
      <w:pPr>
        <w:ind w:left="5232" w:hanging="1001"/>
      </w:pPr>
      <w:rPr>
        <w:rFonts w:hint="default"/>
        <w:lang w:val="es-ES" w:eastAsia="es-ES" w:bidi="es-ES"/>
      </w:rPr>
    </w:lvl>
    <w:lvl w:ilvl="5">
      <w:start w:val="0"/>
      <w:numFmt w:val="bullet"/>
      <w:lvlText w:val="•"/>
      <w:lvlJc w:val="left"/>
      <w:pPr>
        <w:ind w:left="5990" w:hanging="1001"/>
      </w:pPr>
      <w:rPr>
        <w:rFonts w:hint="default"/>
        <w:lang w:val="es-ES" w:eastAsia="es-ES" w:bidi="es-ES"/>
      </w:rPr>
    </w:lvl>
    <w:lvl w:ilvl="6">
      <w:start w:val="0"/>
      <w:numFmt w:val="bullet"/>
      <w:lvlText w:val="•"/>
      <w:lvlJc w:val="left"/>
      <w:pPr>
        <w:ind w:left="6748" w:hanging="1001"/>
      </w:pPr>
      <w:rPr>
        <w:rFonts w:hint="default"/>
        <w:lang w:val="es-ES" w:eastAsia="es-ES" w:bidi="es-ES"/>
      </w:rPr>
    </w:lvl>
    <w:lvl w:ilvl="7">
      <w:start w:val="0"/>
      <w:numFmt w:val="bullet"/>
      <w:lvlText w:val="•"/>
      <w:lvlJc w:val="left"/>
      <w:pPr>
        <w:ind w:left="7506" w:hanging="1001"/>
      </w:pPr>
      <w:rPr>
        <w:rFonts w:hint="default"/>
        <w:lang w:val="es-ES" w:eastAsia="es-ES" w:bidi="es-ES"/>
      </w:rPr>
    </w:lvl>
    <w:lvl w:ilvl="8">
      <w:start w:val="0"/>
      <w:numFmt w:val="bullet"/>
      <w:lvlText w:val="•"/>
      <w:lvlJc w:val="left"/>
      <w:pPr>
        <w:ind w:left="8264" w:hanging="1001"/>
      </w:pPr>
      <w:rPr>
        <w:rFonts w:hint="default"/>
        <w:lang w:val="es-ES" w:eastAsia="es-ES" w:bidi="es-ES"/>
      </w:rPr>
    </w:lvl>
  </w:abstractNum>
  <w:abstractNum w:abstractNumId="1">
    <w:multiLevelType w:val="hybridMultilevel"/>
    <w:lvl w:ilvl="0">
      <w:start w:val="1"/>
      <w:numFmt w:val="decimal"/>
      <w:lvlText w:val="%1"/>
      <w:lvlJc w:val="left"/>
      <w:pPr>
        <w:ind w:left="2195" w:hanging="1001"/>
        <w:jc w:val="left"/>
      </w:pPr>
      <w:rPr>
        <w:rFonts w:hint="default"/>
        <w:lang w:val="es-ES" w:eastAsia="es-ES" w:bidi="es-ES"/>
      </w:rPr>
    </w:lvl>
    <w:lvl w:ilvl="1">
      <w:start w:val="1"/>
      <w:numFmt w:val="decimal"/>
      <w:lvlText w:val="%1.%2"/>
      <w:lvlJc w:val="left"/>
      <w:pPr>
        <w:ind w:left="2195" w:hanging="1001"/>
        <w:jc w:val="left"/>
      </w:pPr>
      <w:rPr>
        <w:rFonts w:hint="default" w:ascii="Arial" w:hAnsi="Arial" w:eastAsia="Arial" w:cs="Arial"/>
        <w:spacing w:val="-4"/>
        <w:w w:val="99"/>
        <w:sz w:val="24"/>
        <w:szCs w:val="24"/>
        <w:lang w:val="es-ES" w:eastAsia="es-ES" w:bidi="es-ES"/>
      </w:rPr>
    </w:lvl>
    <w:lvl w:ilvl="2">
      <w:start w:val="0"/>
      <w:numFmt w:val="bullet"/>
      <w:lvlText w:val="•"/>
      <w:lvlJc w:val="left"/>
      <w:pPr>
        <w:ind w:left="3716" w:hanging="1001"/>
      </w:pPr>
      <w:rPr>
        <w:rFonts w:hint="default"/>
        <w:lang w:val="es-ES" w:eastAsia="es-ES" w:bidi="es-ES"/>
      </w:rPr>
    </w:lvl>
    <w:lvl w:ilvl="3">
      <w:start w:val="0"/>
      <w:numFmt w:val="bullet"/>
      <w:lvlText w:val="•"/>
      <w:lvlJc w:val="left"/>
      <w:pPr>
        <w:ind w:left="4474" w:hanging="1001"/>
      </w:pPr>
      <w:rPr>
        <w:rFonts w:hint="default"/>
        <w:lang w:val="es-ES" w:eastAsia="es-ES" w:bidi="es-ES"/>
      </w:rPr>
    </w:lvl>
    <w:lvl w:ilvl="4">
      <w:start w:val="0"/>
      <w:numFmt w:val="bullet"/>
      <w:lvlText w:val="•"/>
      <w:lvlJc w:val="left"/>
      <w:pPr>
        <w:ind w:left="5232" w:hanging="1001"/>
      </w:pPr>
      <w:rPr>
        <w:rFonts w:hint="default"/>
        <w:lang w:val="es-ES" w:eastAsia="es-ES" w:bidi="es-ES"/>
      </w:rPr>
    </w:lvl>
    <w:lvl w:ilvl="5">
      <w:start w:val="0"/>
      <w:numFmt w:val="bullet"/>
      <w:lvlText w:val="•"/>
      <w:lvlJc w:val="left"/>
      <w:pPr>
        <w:ind w:left="5990" w:hanging="1001"/>
      </w:pPr>
      <w:rPr>
        <w:rFonts w:hint="default"/>
        <w:lang w:val="es-ES" w:eastAsia="es-ES" w:bidi="es-ES"/>
      </w:rPr>
    </w:lvl>
    <w:lvl w:ilvl="6">
      <w:start w:val="0"/>
      <w:numFmt w:val="bullet"/>
      <w:lvlText w:val="•"/>
      <w:lvlJc w:val="left"/>
      <w:pPr>
        <w:ind w:left="6748" w:hanging="1001"/>
      </w:pPr>
      <w:rPr>
        <w:rFonts w:hint="default"/>
        <w:lang w:val="es-ES" w:eastAsia="es-ES" w:bidi="es-ES"/>
      </w:rPr>
    </w:lvl>
    <w:lvl w:ilvl="7">
      <w:start w:val="0"/>
      <w:numFmt w:val="bullet"/>
      <w:lvlText w:val="•"/>
      <w:lvlJc w:val="left"/>
      <w:pPr>
        <w:ind w:left="7506" w:hanging="1001"/>
      </w:pPr>
      <w:rPr>
        <w:rFonts w:hint="default"/>
        <w:lang w:val="es-ES" w:eastAsia="es-ES" w:bidi="es-ES"/>
      </w:rPr>
    </w:lvl>
    <w:lvl w:ilvl="8">
      <w:start w:val="0"/>
      <w:numFmt w:val="bullet"/>
      <w:lvlText w:val="•"/>
      <w:lvlJc w:val="left"/>
      <w:pPr>
        <w:ind w:left="8264" w:hanging="1001"/>
      </w:pPr>
      <w:rPr>
        <w:rFonts w:hint="default"/>
        <w:lang w:val="es-ES" w:eastAsia="es-ES" w:bidi="es-ES"/>
      </w:rPr>
    </w:lvl>
  </w:abstractNum>
  <w:abstractNum w:abstractNumId="0">
    <w:multiLevelType w:val="hybridMultilevel"/>
    <w:lvl w:ilvl="0">
      <w:start w:val="1"/>
      <w:numFmt w:val="upperRoman"/>
      <w:lvlText w:val="%1."/>
      <w:lvlJc w:val="left"/>
      <w:pPr>
        <w:ind w:left="2195" w:hanging="1001"/>
        <w:jc w:val="left"/>
      </w:pPr>
      <w:rPr>
        <w:rFonts w:hint="default" w:ascii="Arial" w:hAnsi="Arial" w:eastAsia="Arial" w:cs="Arial"/>
        <w:w w:val="100"/>
        <w:sz w:val="24"/>
        <w:szCs w:val="24"/>
        <w:lang w:val="es-ES" w:eastAsia="es-ES" w:bidi="es-ES"/>
      </w:rPr>
    </w:lvl>
    <w:lvl w:ilvl="1">
      <w:start w:val="0"/>
      <w:numFmt w:val="bullet"/>
      <w:lvlText w:val="•"/>
      <w:lvlJc w:val="left"/>
      <w:pPr>
        <w:ind w:left="2958" w:hanging="1001"/>
      </w:pPr>
      <w:rPr>
        <w:rFonts w:hint="default"/>
        <w:lang w:val="es-ES" w:eastAsia="es-ES" w:bidi="es-ES"/>
      </w:rPr>
    </w:lvl>
    <w:lvl w:ilvl="2">
      <w:start w:val="0"/>
      <w:numFmt w:val="bullet"/>
      <w:lvlText w:val="•"/>
      <w:lvlJc w:val="left"/>
      <w:pPr>
        <w:ind w:left="3716" w:hanging="1001"/>
      </w:pPr>
      <w:rPr>
        <w:rFonts w:hint="default"/>
        <w:lang w:val="es-ES" w:eastAsia="es-ES" w:bidi="es-ES"/>
      </w:rPr>
    </w:lvl>
    <w:lvl w:ilvl="3">
      <w:start w:val="0"/>
      <w:numFmt w:val="bullet"/>
      <w:lvlText w:val="•"/>
      <w:lvlJc w:val="left"/>
      <w:pPr>
        <w:ind w:left="4474" w:hanging="1001"/>
      </w:pPr>
      <w:rPr>
        <w:rFonts w:hint="default"/>
        <w:lang w:val="es-ES" w:eastAsia="es-ES" w:bidi="es-ES"/>
      </w:rPr>
    </w:lvl>
    <w:lvl w:ilvl="4">
      <w:start w:val="0"/>
      <w:numFmt w:val="bullet"/>
      <w:lvlText w:val="•"/>
      <w:lvlJc w:val="left"/>
      <w:pPr>
        <w:ind w:left="5232" w:hanging="1001"/>
      </w:pPr>
      <w:rPr>
        <w:rFonts w:hint="default"/>
        <w:lang w:val="es-ES" w:eastAsia="es-ES" w:bidi="es-ES"/>
      </w:rPr>
    </w:lvl>
    <w:lvl w:ilvl="5">
      <w:start w:val="0"/>
      <w:numFmt w:val="bullet"/>
      <w:lvlText w:val="•"/>
      <w:lvlJc w:val="left"/>
      <w:pPr>
        <w:ind w:left="5990" w:hanging="1001"/>
      </w:pPr>
      <w:rPr>
        <w:rFonts w:hint="default"/>
        <w:lang w:val="es-ES" w:eastAsia="es-ES" w:bidi="es-ES"/>
      </w:rPr>
    </w:lvl>
    <w:lvl w:ilvl="6">
      <w:start w:val="0"/>
      <w:numFmt w:val="bullet"/>
      <w:lvlText w:val="•"/>
      <w:lvlJc w:val="left"/>
      <w:pPr>
        <w:ind w:left="6748" w:hanging="1001"/>
      </w:pPr>
      <w:rPr>
        <w:rFonts w:hint="default"/>
        <w:lang w:val="es-ES" w:eastAsia="es-ES" w:bidi="es-ES"/>
      </w:rPr>
    </w:lvl>
    <w:lvl w:ilvl="7">
      <w:start w:val="0"/>
      <w:numFmt w:val="bullet"/>
      <w:lvlText w:val="•"/>
      <w:lvlJc w:val="left"/>
      <w:pPr>
        <w:ind w:left="7506" w:hanging="1001"/>
      </w:pPr>
      <w:rPr>
        <w:rFonts w:hint="default"/>
        <w:lang w:val="es-ES" w:eastAsia="es-ES" w:bidi="es-ES"/>
      </w:rPr>
    </w:lvl>
    <w:lvl w:ilvl="8">
      <w:start w:val="0"/>
      <w:numFmt w:val="bullet"/>
      <w:lvlText w:val="•"/>
      <w:lvlJc w:val="left"/>
      <w:pPr>
        <w:ind w:left="8264" w:hanging="1001"/>
      </w:pPr>
      <w:rPr>
        <w:rFonts w:hint="default"/>
        <w:lang w:val="es-ES" w:eastAsia="es-ES" w:bidi="es-ES"/>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TOC1" w:type="paragraph">
    <w:name w:val="TOC 1"/>
    <w:basedOn w:val="Normal"/>
    <w:uiPriority w:val="1"/>
    <w:qFormat/>
    <w:pPr>
      <w:spacing w:before="183"/>
      <w:ind w:left="2195" w:hanging="1002"/>
    </w:pPr>
    <w:rPr>
      <w:rFonts w:ascii="Arial" w:hAnsi="Arial" w:eastAsia="Arial" w:cs="Arial"/>
      <w:sz w:val="24"/>
      <w:szCs w:val="24"/>
      <w:lang w:val="es-ES" w:eastAsia="es-ES" w:bidi="es-ES"/>
    </w:rPr>
  </w:style>
  <w:style w:styleId="TOC2" w:type="paragraph">
    <w:name w:val="TOC 2"/>
    <w:basedOn w:val="Normal"/>
    <w:uiPriority w:val="1"/>
    <w:qFormat/>
    <w:pPr>
      <w:spacing w:before="200"/>
      <w:ind w:left="2195"/>
    </w:pPr>
    <w:rPr>
      <w:rFonts w:ascii="Arial" w:hAnsi="Arial" w:eastAsia="Arial" w:cs="Arial"/>
      <w:sz w:val="24"/>
      <w:szCs w:val="24"/>
      <w:lang w:val="es-ES" w:eastAsia="es-ES" w:bidi="es-ES"/>
    </w:rPr>
  </w:style>
  <w:style w:styleId="BodyText" w:type="paragraph">
    <w:name w:val="Body Text"/>
    <w:basedOn w:val="Normal"/>
    <w:uiPriority w:val="1"/>
    <w:qFormat/>
    <w:pPr/>
    <w:rPr>
      <w:rFonts w:ascii="Arial" w:hAnsi="Arial" w:eastAsia="Arial" w:cs="Arial"/>
      <w:sz w:val="24"/>
      <w:szCs w:val="24"/>
      <w:lang w:val="es-ES" w:eastAsia="es-ES" w:bidi="es-ES"/>
    </w:rPr>
  </w:style>
  <w:style w:styleId="Heading1" w:type="paragraph">
    <w:name w:val="Heading 1"/>
    <w:basedOn w:val="Normal"/>
    <w:uiPriority w:val="1"/>
    <w:qFormat/>
    <w:pPr>
      <w:spacing w:before="92"/>
      <w:outlineLvl w:val="1"/>
    </w:pPr>
    <w:rPr>
      <w:rFonts w:ascii="Arial" w:hAnsi="Arial" w:eastAsia="Arial" w:cs="Arial"/>
      <w:b/>
      <w:bCs/>
      <w:sz w:val="28"/>
      <w:szCs w:val="28"/>
      <w:lang w:val="es-ES" w:eastAsia="es-ES" w:bidi="es-ES"/>
    </w:rPr>
  </w:style>
  <w:style w:styleId="Heading2" w:type="paragraph">
    <w:name w:val="Heading 2"/>
    <w:basedOn w:val="Normal"/>
    <w:uiPriority w:val="1"/>
    <w:qFormat/>
    <w:pPr>
      <w:spacing w:before="93"/>
      <w:ind w:left="1835" w:hanging="721"/>
      <w:outlineLvl w:val="2"/>
    </w:pPr>
    <w:rPr>
      <w:rFonts w:ascii="Arial" w:hAnsi="Arial" w:eastAsia="Arial" w:cs="Arial"/>
      <w:b/>
      <w:bCs/>
      <w:sz w:val="24"/>
      <w:szCs w:val="24"/>
      <w:lang w:val="es-ES" w:eastAsia="es-ES" w:bidi="es-ES"/>
    </w:rPr>
  </w:style>
  <w:style w:styleId="ListParagraph" w:type="paragraph">
    <w:name w:val="List Paragraph"/>
    <w:basedOn w:val="Normal"/>
    <w:uiPriority w:val="1"/>
    <w:qFormat/>
    <w:pPr>
      <w:ind w:left="1295" w:hanging="360"/>
    </w:pPr>
    <w:rPr>
      <w:rFonts w:ascii="Arial" w:hAnsi="Arial" w:eastAsia="Arial" w:cs="Arial"/>
      <w:lang w:val="es-ES" w:eastAsia="es-ES" w:bidi="es-ES"/>
    </w:rPr>
  </w:style>
  <w:style w:styleId="TableParagraph" w:type="paragraph">
    <w:name w:val="Table Paragraph"/>
    <w:basedOn w:val="Normal"/>
    <w:uiPriority w:val="1"/>
    <w:qForma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footer" Target="footer3.xm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image" Target="media/image12.jpeg"/><Relationship Id="rId22" Type="http://schemas.openxmlformats.org/officeDocument/2006/relationships/hyperlink" Target="http://www.knovel.com/web/portal/browse/display?_EXT_KNOVEL_DISPLAY_bookid=4259&amp;amp;amp%3BVerticalID=0" TargetMode="External"/><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A. Rocha Rivero</dc:creator>
  <dc:title>Síntesis y evaluación de espumas sintácticas metálicas para aplicaciones que requieren elevada absorción de energía</dc:title>
  <dcterms:created xsi:type="dcterms:W3CDTF">2019-09-09T20:19:21Z</dcterms:created>
  <dcterms:modified xsi:type="dcterms:W3CDTF">2019-09-09T20:19:21Z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2019-01-21T00:00:00Z</vt:filetime>
  </property>
  <property fmtid="{D5CDD505-2E9C-101B-9397-08002B2CF9AE}" pid="3" name="Creator">
    <vt:lpwstr>Microsoft® Word 2016</vt:lpwstr>
  </property>
  <property fmtid="{D5CDD505-2E9C-101B-9397-08002B2CF9AE}" pid="4" name="LastSaved">
    <vt:filetime>2019-09-09T00:00:00Z</vt:filetime>
  </property>
</Properties>
</file>